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09/12/1979</w:t>
      </w:r>
    </w:p>
    <w:p/>
    <w:p>
      <w:r>
        <w:t xml:space="preserve">CONVERSÃO DA LICENÇA NÃO GOZADA — SE É POSSÍVEL A ALTERAÇÃO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Coerente com pronunciamento anteriores, tenho entendido que inviável a conversão de licença prêmio, quando não gozada, em pecúnia, por força da vedação contida no § 3º, art. 1º do Decreto 38.204, de 03-11-55. - Também, a r. sentença de 1º grau (...), ao julgar improcedente a reclamação arrematou que: "Assim, porque inexiste qualquer norma ou dispositivo contratual expedido pela reclamada assegurando aos reclamantes o direito de receber em espécie a licença-prêmio não gozada em tempo hábil, desacolhe-se a pretensão dos autores. Ressalte-se, ainda, que restou provado não só por confissão, bem como documentalmente (carteira profissional), que os reclamantes... sempre estiveram submetidos às lei trabalhistas" (...). - Ante o exposto, DOU PROVIMENTO AO RECURSO para restabelecer a r. sentença de 1º grau (...), por seus indestrutíveis fundamentos. Proc. TST-RR-777/79, Julgado em 10-12-1979 Arquivo do Ementário Forense, TST/1002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Inviável a conversão de licença-prêmio, ou especial, quando não gozada na oportunidade pelo servidor público, em pecúnia.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2026-07-28T01:55:56.478Z</dcterms:created>
  <dcterms:modified xsi:type="dcterms:W3CDTF">2026-07-28T01:55:56.478Z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