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09/12/1979</w:t>
      </w:r>
    </w:p>
    <w:p/>
    <w:p>
      <w:r>
        <w:t xml:space="preserve">CONVERSÃO DA LICENÇA NÃO GOZADA — SE É POSSÍVEL A ALTERAÇÃO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Coerente com pronunciamento anteriores, tenho entendido que inviável a conversão de licença prêmio, quando não gozada, em pecúnia, por força da vedação contida no § 3º, art. 1º do Decreto 38.204, de 03-11-55. - Também, a r. sentença de 1º grau (...), ao julgar improcedente a reclamação arrematou que: "Assim, porque inexiste qualquer norma ou dispositivo contratual expedido pela reclamada assegurando aos reclamantes o direito de receber em espécie a licença-prêmio não gozada em tempo hábil, desacolhe-se a pretensão dos autores. Ressalte-se, ainda, que restou provado não só por confissão, bem como documentalmente (carteira profissional), que os reclamantes... sempre estiveram submetidos às lei trabalhistas" (...). - Ante o exposto, DOU PROVIMENTO AO RECURSO para restabelecer a r. sentença de 1º grau (...), por seus indestrutíveis fundamentos. Proc. TST-RR-777/79, Julgado em 10-12-1979 Arquivo do Ementário Forense, TST/1002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conversão de licença-prêmio, ou especial, quando não gozada na oportunidade pelo servidor público, em pecúnia.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2026-10-16T16:15:27.735Z</dcterms:created>
  <dcterms:modified xsi:type="dcterms:W3CDTF">2026-10-16T16:15:27.735Z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