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19/11/1979</w:t>
      </w:r>
    </w:p>
    <w:p/>
    <w:p>
      <w:r>
        <w:t xml:space="preserve">SERVIÇO PRESTADO SOB A LEI 1.890/53 — SE É COMPUTADO PARA TAL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"in casu", se o tempo de serviço prestado como pessoal de obra é computável para efeito de licença-prêmio. - Ocorre que, o tempo de serviço prestado sob a égide da Lei 1.890/53, porque vinculado às normas consolidadas não se computa para efeito de licença-prêmio, emerge de forma direta de normas administrativas. - Dada a diversidade dos regimes, não é viável a incorporação do tempo de serviço trabalhista ao estatutário. - Nego provimento. Proc. TST-RR-1403/79, Julgado em 20-11-1979 VENCIDOS OS MINISTROS ARY CAMPISTA (Relator) e COQUEIJO COSTA Arquivo do Ementário Forense, TST/1004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a égide da Lei 1.890/53, como pessoal de obra, porque vinculado às normas consolidadas, não se computa para efeito de licença-prêmio.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2026-07-28T03:37:18.568Z</dcterms:created>
  <dcterms:modified xsi:type="dcterms:W3CDTF">2026-07-28T03:37:18.568Z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