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19/11/1979</w:t>
      </w:r>
    </w:p>
    <w:p/>
    <w:p>
      <w:r>
        <w:t xml:space="preserve">SERVIÇO PRESTADO SOB A LEI 1.890/53 — SE É COMPUTADO PARA TAL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"in casu", se o tempo de serviço prestado como pessoal de obra é computável para efeito de licença-prêmio. - Ocorre que, o tempo de serviço prestado sob a égide da Lei 1.890/53, porque vinculado às normas consolidadas não se computa para efeito de licença-prêmio, emerge de forma direta de normas administrativas. - Dada a diversidade dos regimes, não é viável a incorporação do tempo de serviço trabalhista ao estatutário. - Nego provimento. Proc. TST-RR-1403/79, Julgado em 20-11-1979 VENCIDOS OS MINISTROS ARY CAMPISTA (Relator) e COQUEIJO COSTA Arquivo do Ementário Forense, TST/1004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a égide da Lei 1.890/53, como pessoal de obra, porque vinculado às normas consolidadas, não se computa para efeito de licença-prêmio.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2026-10-16T16:07:07.815Z</dcterms:created>
  <dcterms:modified xsi:type="dcterms:W3CDTF">2026-10-16T16:07:07.815Z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