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17/06/1979</w:t>
      </w:r>
    </w:p>
    <w:p/>
    <w:p>
      <w:r>
        <w:t xml:space="preserve">INCIDÊNCIA APENAS SOBRE O SALÁRIO BÁSICO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prestação dos embargantes está superada pela Lei nº 6.514/77, que não permite incidência do adicional de periculosidade sobre gratificações, participação nos lucros e adicionais sob a forma de sobressalários, resultantes do pacto de vontades ou cláusulas contratuais. A própria Súmula nº 70 (*) do E. TST firmou entendimento nesse ponto, quando repeliu a incidência do referido adicional sobre triênios. Toda a Jurisprudência que coligiu esta morta. Não conheço. Proc. TST-E-RR-3.060/77, Julgado em 18-06-1979 Arquivo do Ementário Forense, TST/997 (*) "O adicional de periculosidade não incide sobre os triênios pagos pela Petrobrás." ("EMENTÁRIO FORENSE", Nº 370, t. PERICULOSIDADE, st. ADICIONAL)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adicional-periculosidade incide apenas sobre o salário-base, excluídos o adicional global de função, triênios, gratificações, participações nos lucros e outros.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2026-07-28T03:47:48.238Z</dcterms:created>
  <dcterms:modified xsi:type="dcterms:W3CDTF">2026-07-28T03:47:48.238Z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