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ROBERTO MÁRIO R</w:t>
      </w:r>
    </w:p>
    <w:p>
      <w:r>
        <w:rPr>
          <w:b/>
          <w:bCs/>
        </w:rPr>
        <w:t xml:space="preserve">Julgado em: </w:t>
      </w:r>
      <w:r>
        <w:t xml:space="preserve">15/05/1979</w:t>
      </w:r>
    </w:p>
    <w:p/>
    <w:p>
      <w:r>
        <w:t xml:space="preserve">SE SÃO COMPUTÁVEIS OS PRESTADOS SOB REGIMES CELETISTA E ESTATUTÁRIO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o tempo de serviço sob o regime da Lei 1.890/53, destinado ao pessoal de obras não é, de todo, estranho ao tempo de serviço prestado ao Estado, sob regime de lei estadual, porque o escopo do legislador do texto 1.890/53 foi, exatamente, de mostrar a peculiaridade de serviço público de trabalho, tipicamente de vínculo empregatício comum, quando prestado a entes de direito público interno. - Tal peculiaridade permite a somagem de um e de outro, sobretudo quando o serviço prestado ao mesmo empregador. - Assim, a licença-prêmio, sendo vantagem estatutária estendida aos que se achavam sob o regime da Lei 1.890/53, passou a integrar o contrato de trabalho, eis que a transformação da entidade de administração direta em órgão de economia mista não pode tocar em direitos já assegurados. - Rejeito os embargos. Proc. TST-E-RR-4.609/77, Julgado em 16-05-1979 VENCIDOS OS MINISTROS FERNANDO FRANCO, EXPEDITO AMORIM, NELSON TAPAJÓS, MARCELO PIMENTEL e JUIZ ROBERTO MÁRIO (no mérito, pelo voto de desempate) Arquivo do Ementário Forense, TST/915 NO SENTIDO CONTRÁRIO: Recurso de Revista, Proc. TST-RR-4.659/78, 2ª T., Relator: Ministro ROBERTO MÁRIO R. MARTINS, ac. de 29-05-1979, in "EMENTÁRIO FORENSE", neste Número.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modificações estruturais do Órgão Empregador, de administração autárquica, de administração direta e, depois, de economia mista, não podem atingir direitos adquiridos nas situações anteriormente vividas.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2026-07-28T04:31:50.875Z</dcterms:created>
  <dcterms:modified xsi:type="dcterms:W3CDTF">2026-07-28T04:31:50.875Z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