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19/03/1979</w:t>
      </w:r>
    </w:p>
    <w:p/>
    <w:p>
      <w:r>
        <w:t xml:space="preserve">VOLTA DOS AUTOS À INSTÂNCIA DE ORIGEM — QUANDO SE TORNA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Reconhecida, pelo Egrégio Regional, a competência desta justiça especializada para apreciar e julgar a reclamação contra a Caixa de Previdência, contrariamente ao que fora decidido pela MM. Junta, cumpria-lhe, "data venia", determinar o retorno dos autos à primeira instância, para julgamento do mérito, sob pena de incorrer em nulidade resultante de supressão de instância, procedimento que não pode ser validado nem sequer com a alegação de celeridade processual, por tratar-se de nulidade absoluta, restando, assim, violado o art. 652, IV, da CLT. - Por isto, dou provimento, em parte, à revista, para, anulando o acórdão na parte relativa à Caixa de Previdência, determinar o retorno dos autos à MM. Junta de origem, a fim de julgar o mérito, como de direito. Proc. TST-RR-3.030/78, Julgado em 20-03-1979 Arquivo do Ementário Forense, TST/936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Declarada a competência da Justiça do Trabalho para apreciar a reclamatória, devem os autos retornar à instância de origem que decidiu pela incompetência, a fim de que aprecie o mérito, sob pena de configurar-se supressão da instância, que constitui nulidade processual absoluta.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2026-10-16T18:34:34.947Z</dcterms:created>
  <dcterms:modified xsi:type="dcterms:W3CDTF">2026-10-16T18:34:34.947Z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