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03/04/1979</w:t>
      </w:r>
    </w:p>
    <w:p/>
    <w:p>
      <w:r>
        <w:t xml:space="preserve">ESTIPULAÇÃO DE PRÉVIO INQUÉRITO — INOBSERVÂNCIA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razão assiste ao reclamante. Cláusula benéfica que é o art. 232 do Estatuto dos Ferroviários integra o contrato do reclamante, nos termos do art. 444, da CLT, não podendo ser suprimida tal vantagem, pena de violação do art. 468 consolidado. - Ademais, tal é o atual e uniforme entendimento deste Colendo Pleno, configurado na Súmula nº 77. - Acolho. assim, os embargos para restabelecer, a d. sentença de 1º grau. Proc. TST-E-RR-4.968/76, Julgado em 04-04-1979 Arquivo do Ementário Forense, TST/942 (*) "Nula é a punição de empregado se não precedida de inquérito ou sindicância internos a que se obrigou a empresa, por norma regulamentar." ("EMENTÁRIO FORENSE", Nº 370).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punição de empregado se não precedida de inquérito ou sindicância internos a que se obrigou a empresa, por norma regulamentar.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2026-07-28T04:25:02.480Z</dcterms:created>
  <dcterms:modified xsi:type="dcterms:W3CDTF">2026-07-28T04:25:02.480Z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