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Julgado em: </w:t>
      </w:r>
      <w:r>
        <w:t xml:space="preserve">21/10/1979</w:t>
      </w:r>
    </w:p>
    <w:p/>
    <w:p>
      <w:r>
        <w:t xml:space="preserve">CASO DE RECLAMADO REPRESENTADO POR CURADOR À LIDE — DISPENSA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"Data venia" do parecer (...) da douta Procuradoria Regional do Trabalho, o recurso não pode ser conhecido. Os reclamados, ora recorrentes, citados por edital, não compareceram à audiência de instrução e julgamento. Em decorrência, foram considerados revéis e confessos quanto à matéria de fato. Na sentença (...) o MM. Juiz de Direito da Comarca de Osório nomeou curador dos reclamados o bacharel que subscreve a petição do recurso ordinário (...). Ao recorrer, deixou o curador de atender ao disposto no art. 899 da CLT. Isso obsta, a toda evidência, o conhecimento do recurso ordinário interposto pelos reclamados, através do seu curador, ante a imperatividade da norma contida no art. 899 da CLT: "Sendo a condenação de valor até 10 (dez) vezes o salário mínimo regional, nos dissídios individuais, só será admitido o recurso, inclusive o extraordinário, mediante prévio depósito da respectiva importância". Julgado em 22-10-1979 Arquivo do Ementário Forense, TRT/7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Imperatividade da norma contida no art. 899 da CLT. - Em hipótese alguma é dispensável o depósito da condenação mesmo em processo onde os reclamados, citados por edital, deixam de comparecer à audiência, sendo-lhes nomeado curador à lide, este, ao recorrer, está obrigado a realizar o depósito do valor da condenação, sob pena de não poder ser conhecido 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2026-07-28T06:19:47.414Z</dcterms:created>
  <dcterms:modified xsi:type="dcterms:W3CDTF">2026-07-28T06:19:47.414Z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