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TENTATIVA DE CONCILIAÇÃO</w:t>
      </w:r>
    </w:p>
    <w:p/>
    <w:p/>
    <w:p>
      <w:r>
        <w:t xml:space="preserve">DESNECESSIDADE — HIPÓTESE DE INEXISTÊNCIA DE COMISSÃO CONCILIATÓRIA NA LOCALIDADE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a recorrente a carência de ação, tendo em vista que a reclamante não submeteu, previamente, o litígio à comissão de conciliação prévia, prevista na Lei 9.958/2000. Entretanto, não comprovou a recorrente a existência de Comissões de Conciliação Prévia instituídas pela empresa ou sindicatos representantes da categoria. - Inexistindo a referida comissão, não há o que se falar em carência de ação. - ................................................. - Estando a recorrida assistida pelo sindicato da classe e desempregada, conforme afirmada na inicial, resta claro que as exigências da Lei 5.584/70 foram devidamente preenchidas. Assim, mantém-se a condenação. Ac. de 14-05-2002 DOE/AL de 24-05-2002 Arquivo do EMFOR, TRT/N 4817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as comissões de conciliação prévia prevista na Lei 9.958/2000, não há o que se falar em carência de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2026-10-16T18:23:43.246Z</dcterms:created>
  <dcterms:modified xsi:type="dcterms:W3CDTF">2026-10-16T18:23:43.246Z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