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TENTATIVA DE CONCILIAÇÃO</w:t>
      </w:r>
    </w:p>
    <w:p/>
    <w:p/>
    <w:p>
      <w:r>
        <w:t xml:space="preserve">DESNECESSIDADE — HIPÓTESE DE INEXISTÊNCIA DE COMISSÃO CONCILIATÓRIA NA LOCALIDADE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Alega a recorrente a carência de ação, tendo em vista que a reclamante não submeteu, previamente, o litígio à comissão de conciliação prévia, prevista na Lei 9.958/2000. Entretanto, não comprovou a recorrente a existência de Comissões de Conciliação Prévia instituídas pela empresa ou sindicatos representantes da categoria. - Inexistindo a referida comissão, não há o que se falar em carência de ação. - ................................................. - Estando a recorrida assistida pelo sindicato da classe e desempregada, conforme afirmada na inicial, resta claro que as exigências da Lei 5.584/70 foram devidamente preenchidas. Assim, mantém-se a condenação. Ac. de 14-05-2002 DOE/AL de 24-05-2002 Arquivo do EMFOR, TRT/N 4817 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Inexistindo as comissões de conciliação prévia prevista na Lei 9.958/2000, não há o que se falar em carência de 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2026-07-28T01:27:31.100Z</dcterms:created>
  <dcterms:modified xsi:type="dcterms:W3CDTF">2026-07-28T01:27:31.100Z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