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CONTRATAÇÃO SEM CONCURSO</w:t>
      </w:r>
    </w:p>
    <w:p/>
    <w:p/>
    <w:p>
      <w:r>
        <w:t xml:space="preserve">AÇÃO ANULATÓRIA CONTRA DECISÃO JUDICIAL TRANSITADA EM JULGADO — CARÁTER PROTELATÓRIO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verifica, o autor é mesmo recalcitrante em proceder de modo temerário, chegando o seu inconformismo, data venia, às raias do absurdo, em que pese o brilho e a inegável cultura do seu ilustre patrono. - O art. 486, do CPC, é de clareza meridiana, admitindo a anulação somente dos atos judiciais que não dependem de sentença. E maneja a presente ação contra decisão judicial sentença/acórdão - já transitadas em julgado. - Admitir o presente procedimento significa querelar "ad infinitum", prolongando o estado conflituoso, e impedindo a pacificação social via prestação jurisdicional. - Considero, assim, que o autor, nos termos do art. 17, I, do CPC deduziu pretensão contra texto expresso de lei ação anulatória de sentença e ainda procedendo de modo temerário manejando ação para postergar a solução final do litígio. Invocando o art. 18, 2º/CPC, e consoante a fundamentação supra, imponho a multa de 10% sobre o valor da causa, por litigância de má-fé, a favor da ré. - Isto posto, acolhem-se as preliminares de ausência de pressupostos de constituição e de desenvolvimento válido e regular do processo e de impossibilidade jurídica do pedido, extinguindo-se o processo sem exame do mérito, com alicerce no artigo 267, incisos IV e VI, do CPC e impondo ao autor, a favor da ré, o pagamento da mul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anulatória como previsto no art. 486/CPC somente é cabível quando o ato judicial não depender de sentença, porque é nesta que o ato se formaliza, podendo ser atacada pelos recursos próprios e por último ação rescisória, se verificados seus pressupostos, nunca por ação anulatória. Por outro lado, se o autor da ação anulatória, busca com esta postergar a pacificação do conflito, manejando-a com os mesmos propósitos da ação rescisória anterior, cujo processo foi extinto sem julgamento do mérito, pratica litigação de má-fé, ficando sujeito ao pagamento de indenização neste sentido fixada.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2026-10-16T17:10:36.804Z</dcterms:created>
  <dcterms:modified xsi:type="dcterms:W3CDTF">2026-10-16T17:10:36.804Z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