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CONTRATAÇÃO SEM CONCURSO</w:t>
      </w:r>
    </w:p>
    <w:p/>
    <w:p>
      <w:r>
        <w:rPr>
          <w:b/>
          <w:bCs/>
        </w:rPr>
        <w:t xml:space="preserve">Tribunal: </w:t>
      </w:r>
      <w:r>
        <w:t xml:space="preserve">TRT</w:t>
      </w:r>
    </w:p>
    <w:p/>
    <w:p>
      <w:r>
        <w:t xml:space="preserve">RELAÇÃO DOMÉSTICA DE EMPREGO — PROVA TESTEMUNHAL -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âmbito doméstico, as relações de trabalho se desenvolvem dentro de clima de absoluta confiança, de características próprias e desvestidas de formalidades. - Neste Contexto, não há como exigir-se do empregador doméstico o mesmo rigor que se exige do empregador comum em relação aos aspectos formais do contrato de trabalho, sendo razoável que a deficiência documental detectada em juízo possa ser suprida por robusta e harmoniosa prova testemunhal." (TRT 10a. Região, RO 3843/93, Relator Juiz Paulo Mascarenhas Borges, Ac. 3a. T. 563/94, DJU de 6.5.94, p. 4948). - Sendo assim, o recurso merece parcial provimento, nesse aspecto, para reduzir a condenação ao saldo salarial de fevereiro a R$200,00, porquanto a testemunha ouvida apenas comprovou o pagamento da quantia de R$100,00, como antes assinalado. Apelo parcialmente provido. Ac. de 01-02-2002 Arquivo do EMFOR, TRT/N 5129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comprovação do pagamento de salários deve ser feita com a exibição dos recibos correspondentes (CC, art. 940, c/c art. 464, da CLT). - No entanto, no campo das relações domésticas, em que ainda subsiste a informalidade, a jurisprudência dos tribunais do trabalho, com sua vocação equitativa, tem flexibilizado o rigor da prescrição legal, admitindo, embora com reservas, que a comprovação do pagamento salarial seja feita por intermédio de testemunhas, cujo valor deve ser definido com rigor especial e de acordo com a diretriz da livre persuasão racional (art. 131, do CPC).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2026-10-16T17:23:05.444Z</dcterms:created>
  <dcterms:modified xsi:type="dcterms:W3CDTF">2026-10-16T17:23:05.444Z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