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CONTRATAÇÃO SEM CONCURSO</w:t>
      </w:r>
    </w:p>
    <w:p/>
    <w:p>
      <w:r>
        <w:rPr>
          <w:b/>
          <w:bCs/>
        </w:rPr>
        <w:t xml:space="preserve">Tribunal: </w:t>
      </w:r>
      <w:r>
        <w:t xml:space="preserve">TRT</w:t>
      </w:r>
    </w:p>
    <w:p/>
    <w:p>
      <w:r>
        <w:t xml:space="preserve">FALTA — PROVA TESTEMUNHAL - QUANDO SE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âmbito doméstico, as relações de trabalho se desenvolvem dentro de clima de absoluta confiança, de características próprias e desvestidas de formalidades. - Neste Contexto, não há como exigir-se do empregador doméstico o mesmo rigor que se exige do empregador comum em relação aos aspectos formais do contrato de trabalho, sendo razoável que a deficiência documental detectada em juízo possa ser suprida por robusta e harmoniosa prova testemunhal." (TRT 10a. Região, RO 3843/93, Relator Juiz Paulo Mascarenhas Borges, Ac. 3a. T. 563/94, DJU de 6.5.94, p. 4948). - Sendo assim, o recurso merece parcial provimento, nesse aspecto, para reduzir a condenação ao saldo salarial de fevereiro a R$200,00, porquanto a testemunha ouvida apenas comprovou o pagamento da quantia de R$100,00, como antes assinalado. Apelo parcialmente provido. Ac. de 01-02-2002 Arquivo do EMFOR, TRT/N 5129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comprovação do pagamento de salários deve ser feita com a exibição dos recibos correspondentes (CC, art. 940, c/c art. 464, da CLT). - No entanto, no campo das relações domésticas, em que ainda subsiste a informalidade, a jurisprudência dos tribunais do trabalho, com sua vocação equitativa, tem flexibilizado o rigor da prescrição legal, admitindo, embora com reservas, que a comprovação do pagamento salarial seja feita por intermédio de testemunhas, cujo valor deve ser definido com rigor especial e de acordo com a diretriz da livre persuasão racional (art. 131, do CPC).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2026-07-28T04:18:10.223Z</dcterms:created>
  <dcterms:modified xsi:type="dcterms:W3CDTF">2026-07-28T04:18:10.223Z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