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PREVIDÊNCIA SOCIAL</w:t>
      </w:r>
    </w:p>
    <w:p>
      <w:r>
        <w:rPr>
          <w:i/>
          <w:iCs/>
          <w:color w:val="666666"/>
        </w:rPr>
        <w:t xml:space="preserve">EXAURIMENTO DA VIA ADMINISTRATIVA</w:t>
      </w:r>
    </w:p>
    <w:p/>
    <w:p>
      <w:r>
        <w:rPr>
          <w:b/>
          <w:bCs/>
        </w:rPr>
        <w:t xml:space="preserve">Recurso: </w:t>
      </w:r>
      <w:r>
        <w:t xml:space="preserve">RE 163.231-3</w:t>
      </w:r>
    </w:p>
    <w:p>
      <w:r>
        <w:rPr>
          <w:b/>
          <w:bCs/>
        </w:rPr>
        <w:t xml:space="preserve">Tribunal: </w:t>
      </w:r>
      <w:r>
        <w:t xml:space="preserve">TST</w:t>
      </w:r>
    </w:p>
    <w:p/>
    <w:p>
      <w:r>
        <w:t xml:space="preserve">DEFESA DE DIREITOS DE TRABALHADORES CONSTITUCIONALMENTE GARANTIDOS — QUANDO SE LEGITIMA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Esta Corte, no julgamento do RE nº 163.231-3 - SP, em 26-02-97, relator Ministro Maurício Corrêa, fixou entendimento com relação à legitimidade do Ministério Público, destacado na seguinte ementa: "RECURSO EXTRAORDINÁRIO. CONSTITUCIONAL. LEGITIMIDADE DO MINISTÉRIO PÚBLICO PARA PROMOVER AÇÃO CIVIL PÚBLICA EM DEFESA DOS INTERESSES DIFUSOS, COLETIVOS E HOMOGÊNEOS. MENSALIDADES ESCOLARES: CAPACIDADE POSTULATÓRIA DO "PARQUET" PARA DISCUTI-LAS EM JUÍZO. 1. A Constituição Federal confere relevo ao Ministério Público como instituição permanente, essencial à função jurisdicional do Estado, incumbindo-lhe a defesa da ordem jurídica, do regime democrático e dos interesses sociais e individuais indisponíveis (CF, art. 127). 2. Por isso mesmo detém o Ministério Público capacidade postulatória, não só para a abertura do inquérito civil, da ação penal pública e da ação civil pública para a proteção do patrimônio público e social, do meio ambiente, mas também de outros interesses difusos e coletivos (CF, art. 129, I e III). 3. Interesses difusos são aqueles que abrangem número indeterminado de pessoas unidas pelas mesmas circunstâncias de fato e coletivos aqueles pertencentes a grupos, categorias ou classes de pessoas determináveis, ligadas entre si ou com a parte contrária por uma relação jurídica base. 3.1. A indeterminidade é a característica fundamental dos interesses difusos e a determinidade a daqueles interesses que envolvem os coletivos. 4. Direitos ou interesses ho mogêneos são os que têm a mesma origem comum (art. 81, III, da Lei nº 8.078, de 11 de setembro de 1990), constituindo-se em subespécie de direitos coletivos. 4.1. Quer se afirme interesses coletivos ou particularmente interesses homogêneos, "stricto sensu", ambos estão cingidos a uma mesma base jurídica, sendo coletivos, explicitamente dizendo, porque são relativos a grupos, categorias ou classes de pessoas, que conquanto digam respeito às pessoas isoladamente, não se classificam como direitos individuais para o fim de ser vedada a sua defesa em ação civil pública, porque sua concepção finalística destina-se à proteção desses grupos, categorias ou classe de pessoas. 5. As chamadas mensalidades escolares, quando abusivas ou ilegais, podem ser impugnadas por via de ação civil pública, a requerimento do Órgão do Ministério Público, pois ainda que sejam interesses homogêneos de origem comum, são subespécies de interesses coletivos, tutelados pelo Estado por esse meio processual como dispõe o artigo 129, inciso III, da Constituição Federal. 5.1. Cuidando-se de tema ligado à educação, amparada constitucionalmente como dever do Estado e obrigação de todos (CF, art. 205), está o Ministério Público investido da capacidade postulatória, patente a legitimidade "ad causam", quando o bem que se busca resguardar se insere na órbita dos interesses coletivos, em segmento de extrema delicadeza e de conteúdo social tal que, acima de tudo, recomenda-se o abrigo estatal. Recurso extraordinário conhecido e provido para, afastada a alegada ilegitimidade do Ministério Público, com vistas à defesa dos interesses de uma coletividade, determinar a remessa dos autos ao Tribunal de origem, para prosseguir no julgamento da ação." - Na ocasião, acompanhando o voto do ilustre relator, assim me manifestei, "verbis": "Sr. Presidente. Estou de acordo com os votos já proferidos, mas me permitiria lembrar que esta, sem dúvida, é a primeira ação des sa natureza submetida a julgamento no Plenário. A questão relativa à legitimidade do Ministério Público para a propositura da ação civil pública está recém chegando ao Supremo Tribunal; já há em pauta outros feitos versando sobre a matéria. Esse julgamento viabiliza, desde logo, uma consideração fundamental na compreensão do papel do Ministério Público dentro do contexto constitucional em vigor, que lhe emprestou um relevo excepcional. O art. 127 estipula que: "Art. 127 - O Ministério Público é instituição permanente, essencial à função jurisdicional do Estado, incumbindo-lhe a defesa da ordem jurídica, do regime democrático e dos interesses sociais e individuais indisponíveis." Parece, desde logo, extrair-se desse enunciado, sem necessidade de uma discussão quanto à parte final do inciso III, do art. 129, da Constituição, que a resposta ao recurso somente poderia se fazer nos termos em que efetivamente concluiu o ilustre Ministro-Relator. De fato, os bens aqui trazidos a exame, e a respeito dos quais se discute sobre a legitimidade da ação do Ministér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Lei Complementar nº 75/93 conferiu ao Ministério Público do Trabalho legitimidade ativa, no campo da defesa dos interesses difusos e coletivos, no âmbito trabalhista. - Independentemente de a própria lei fixar o conceito de interesse coletivo, é conceito de Direito Constitucional, na medida em que a Carta Política dele faz uso para especificar as espécies de interesses que compete ao Ministério Público defender.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2026-07-28T00:25:06.714Z</dcterms:created>
  <dcterms:modified xsi:type="dcterms:W3CDTF">2026-07-28T00:25:06.714Z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