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RESPONSABILIDADE ADMINISTRATIVA</w:t>
      </w:r>
    </w:p>
    <w:p/>
    <w:p>
      <w:r>
        <w:rPr>
          <w:b/>
          <w:bCs/>
        </w:rPr>
        <w:t xml:space="preserve">Recurso: </w:t>
      </w:r>
      <w:r>
        <w:t xml:space="preserve">RE 49.824</w:t>
      </w:r>
    </w:p>
    <w:p/>
    <w:p>
      <w:r>
        <w:t xml:space="preserve">SE A IMPEDE A VITALICIEDADE DO SERVIDOR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vitaliciedade não impede a extinção do cargo, ficando o funcionário em disponibilidade com todos os vencimentos. Referência: - Constituição Federal, art. 189 RE 49.824, de 02.04.63 (D.J. de 14.06.63, p.401) Sessão de 13-12-1963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2026-07-28T04:22:01.669Z</dcterms:created>
  <dcterms:modified xsi:type="dcterms:W3CDTF">2026-07-28T04:22:01.669Z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