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17/10/1977</w:t>
      </w:r>
    </w:p>
    <w:p/>
    <w:p>
      <w:r>
        <w:t xml:space="preserve">QUANDO DESCABE POR OFENSA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do agravo não infirmam os fundamentos do despacho que negou seguimento ao agravo de instrumento, segundo os quais a garantia da coisa julgada não impede que a sentença seja desconstituída através da ação rescisória. Se o acórdão recorrido julgou procedente ação rescisória em caso que não a comportava, violado não foi, direta e frontalmente, o art. 153, § 3º da Constituição da República, mas a lei que regula aquele tipo de ação. E descabe recurso extraordinário das decisões do Tribunal Superior do Trabalho concernentes à aplicação de lei ordinária. - Ante o exposto, nego provimento ao agravo regimental. Julgado em 18-10-1977 Revista Trimestral de Jurisprudência. Fevereiro, 1978 - Vol. 83 - Pág. 389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acórdão recorrido julgou procedente ação rescisória em caso que não a comportava, violado não foi direta e frontalmente, o artigo 153, § 3º, da Constituição da República, mas a lei ordinária que regula aquele tipo de ação, motivo pelo qual descabe o recurso extraordinário ao Supremo Tribunal Federal.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2026-07-28T01:55:42.884Z</dcterms:created>
  <dcterms:modified xsi:type="dcterms:W3CDTF">2026-07-28T01:55:42.884Z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