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Julgado em: </w:t>
      </w:r>
      <w:r>
        <w:t xml:space="preserve">13/08/1975</w:t>
      </w:r>
    </w:p>
    <w:p/>
    <w:p>
      <w:r>
        <w:t xml:space="preserve">DECISÃO NORMATIVA QUE A CONCEDE — SE OFENDE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DESPACHO DE INADMISSÃO DO MINISTRO MOZART VICTOR RUSSOMANO - A raiz da estabilidade provisória da gestante está, hoje, no art. 165, inciso XI, da Constituição da República. - Ali declara o constituinte que a gestante terá direito a repouso remunerado, antes e depois do parto. E, nesse ponto, o legislador ordinário dispôs minuciosamente, na forma do artigo 392, da Consolidação das Leis do Trabalho. - Mas, a norma constitucional não se limita a isso. O art. 391, "caput", da Consolidação, tendo como referência, por certo, o Direito Comum e querendo dispor claramente no sentido oposto, diz não ser justo motivo para a despedida o fato de a mulher contrair matrimônio ou encontrar-se grávida. O constituinte, indo bastante além, no mencionado inciso XI, acrescenta que essa vantagem será concedida sem prejuízo do emprego. - Isso significa dizer que a gravidez da mulher (não é outra a lição unânime dos escritores brasileiros) cria um regime especial de estabilidade, tipicamente transitório. - Ao revés do que ocorreu, porém, com a estabilidade do dirigente sindical, o legislador ordinário não indicou o momento em que se extingue essa estabilidade. - Por isso, no uso do seu poder normativo, a decisão recorrida (em movimento relevante da história da competência da Justiça do Trabalho para solução dos conflitos coletivos e criação de normas propícias à segurança da vida social) veio considerar que essa estabilidade merece ser disciplinada mais precisamente. - Tomou, então, como paradigma, a regra referente aos líderes sindicais (C.L.T., art. 543). Se é evidente que a estabilidade da gestante começa com a gravidez, não se sabe, pelo inciso XI, do art. 165, da Carta, quando ela termina. Não é com o parto ou com o aborto, evidentemente, eis qu e o legislador lhe confere, logo a seguir, repouso remunerado. - A gestante, como o dirigente sindical, pode ser alvo da represália do empresário, através da despedida. E, agora, essa possibilidade se torna gravíssima, pois atinge a trabalhadora-mãe, em momento difícil de sua vida. - A gravidez reduz a capacidade física da mulher. Após o parto, sobrevêm a amamentação, a lenta recuperação da gestante, os cuidados devidos ao filho. - Admitir-se a despedida sumária da empregada logo após o nascimento do filho ou o término do período de auxílio-maternidade seria o mesmo que se admitir a despedida do dirigente sindical logo após a extinção de seu mandado. - Se o legislador ordinário, expressamente, no art. 543, § 3º, estabeleceu um prazo de persistência da estabilidade (noventa dias após o término do mandato), nada mais plausível do que se adotar o mesmo critério relativamente à gestação da empregada, de modo a garantir-lhe, efetivamente, a volta do emprego, ao menos por um prazo curto e razoável, quando ela terá recuperado sua capacidade normal de trabalho. - Não vemos, por isso, a pretendida violação do art. 142, § 1º da Carta Constitucional, eis que tudo resulta da própria Constituição (art. 165, inc. XI), e da aplicação analógica - por via do art. 543, § 3º, da Consolidação das Leis do Trabalho. - Por outro lado, a citação do art. 153, § 2º, como fundamento do recurso extraordinário, deve ser compreendida como a referência habitual que, "in extremis", sempre se tem feito, ao tentar o extremo apelo ao Pretório Excelso. - No que diz respeito, finalmente, ao art. 165, inciso, XI, da Constituição da República, também apontado como ferido, acima se demonstrou que, ao revés, foi em cumprimento à sua letra e ao seu espírito que este tribunal Superior decidiu aquilo que decidiu. - Acentuo para concluir estas observações, que a decisão adotada em favor da trabalhadora gestante, longe de merecer a crítica dos juristas e dos juízes, deve receber amparo, aplauso e estímulo. - É um capítulo relevante da história da proteção à mulher que está na contingência de trabalhar para manter sua família ou ajudar a mantê-la. - Considero um privilégio do Tribunal Superior do Trabalho haver escrito esse capítulo e tenho a íntima, profunda convicção de que não seria o eg. Supremo Tribunal Federal - sempre coerente na sua linha de tradições - que riscaria essa bela página da jurisprudência normativa ... DO VOTO - Quanto à estabilidade provisória da gestante, há no acórdão recorrido esforço de construção que talvez transcenda os exatos limites das disposições legais pertinentes, mas que positivamente não ofende a Constituição. Foi, aliás, na intenção de cumpri-la com exação que ele se inspirou, e compreende-se por quê: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a Constituição a decisão normativa que concede estabilidade provisória à gestante.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2026-10-16T16:29:50.244Z</dcterms:created>
  <dcterms:modified xsi:type="dcterms:W3CDTF">2026-10-16T16:29:50.244Z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