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MS -226/77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15/11/1977</w:t>
      </w:r>
    </w:p>
    <w:p/>
    <w:p>
      <w:r>
        <w:t xml:space="preserve">SE SOBRE ELE INCIDE A VERBA DE REPRESENTAÇÃO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Incensurável o acórdão recorrido. - Isto porque a gratificação quinqüenal é calculada somente sobre o vencimento, conforme dispõe o art. 14 da Lei nº 4.489, o art. 10, § 1º da Lei 4.345. - E mais. Como bem informa o parecer ..., o Decreto-Lei 1.445, no § 1º do art. 3º e no § 1º do art. 8º "estabeleceu que a representação mensal não será computada para cálculo de qualquer vantagem, indenização, proventos de aposentadoria ou desconto previdenciário". - Ora, na realidade, verba de representação não é vencimento, e como a lei só determina a incidência da gratificação quinqüenal sobre este último, não há como estendê-la àquela. - Nego provimento ao recurso. Proc. TST-RO-MS-226/77, Julgado em 16-11-1977 VENCIDOS OS MINISTROS BARATA SILVA E ORLANDO COUTINHO Arquivo do Ementário Forense, TST/634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 de representação não é vencimento. Conseqüentemente, não pode ser calculada sobre ela a gratificação quinqüenal.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2026-10-16T16:09:32.535Z</dcterms:created>
  <dcterms:modified xsi:type="dcterms:W3CDTF">2026-10-16T16:09:32.535Z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