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13/11/1977</w:t>
      </w:r>
    </w:p>
    <w:p/>
    <w:p>
      <w:r>
        <w:t xml:space="preserve">DESPEDIDA SEM OBSERVÂNCIA DAS FORMALIDADES LEGAIS — SE ESTÁ SUJEITA À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Domina no TST a jurisprudência segundo a qual o ato nulo prescreve, no direito brasileiro, em geral. O Código Civil contém mais de um exemplo. O empregado estável, despedido sem as formalidades de lei, não pode pretender em juízo contra o ato patronal, "ad eternum". O que prescreve, aliás, não é o direito de o empregador despedir, porque de natureza potestativa e despido de pretensão. Para despedir, o empregador não sofre prescrição extintiva. Sua demora em dispensar pode tornar inatual a falta. A prescrição é para o empregado pretender o ressarcimento em sentença condenatória. - Rejeito os embargos. Proc. TST-E-RR-3.109/76, Julgado em 14-11-1977 VOTO VENCIDO DO JUIZ PEREIRA LEITE - ... Acolho os embargos, para determinar que a Junta aprecie o mérito. - Afaste-se, de início, o fundamento central de decisão da Turma, qual seja o de que na "Justiça do Trabalho" não há distinção entre ato nulo e anulável. Gritante, a impropriedade. Prescrição e validade de ato jurídico situam-se no plano do direito material e não no terreno de direito processual. Se se pretende distinguir prescrição no Direito do Trabalho e no direito comum, ainda assim não foi feliz o julgado. Principalmente no direito especial, como lembra RENATO MACHADO, "tutelar por excelência, a corrente da imprescritibilidade dos atos nulos deve predominar, sob pena até de, comparando o art. 8º da CLT com o art. 177 do Código Civil, chegar-se à perplexa conclusão de que os atos nulos no direito privado são mais amparados do que no texto consolidado" (TST - Pleno, 1.081/74, Ementário Trabalhista, 3/76, nº 29). - Nem se beneficia a embargada da invocação do art. 11 da CLT. Evidentemente prescreve em dois anos o que for suscetível de prescrição . Argumentar com o fato de que na letra da lei não se distingue ato nulo de ato anulável é cobrar a explicação da evidência. Prescreve a exigibilidade, encoberta pelo decurso do tempo, se o ato foi anulável, ou não se praticou o que se deveria ter praticado, ou se cumpriu mal a obrigação etc. Quando o empregador não paga salário mínimo, ou não concede férias e assim por diante, discussão da validade e eficácia é impertinente por inteiro. O empregado tem direito e pretensão a estas prestações. Consuma-se a prescrição se deixa de exercê-los pelo prazo de dois anos. Seria exigir demais do legislador pedir-lhe dissesse o que prescreve e o que não prescreve, ou, em outras palavras, exigir-lhe enunciasse com clareza didática o conceito de prescrição. - O dissídio envolve a despedida de empregado estável. O Regional deu como estável o reclamante, soterrando possível debate quanto a faltas ao serviço e licenças, matéria e licenças, matéria inquestionavelmente de fato. Cumpre abstrair, também, porque no mesmo plano dos fatos, a alegação do autor no sentido de que nunca se provou sua despedida - alegação, por sinal, corroborada pela representante da empresa, ... - Resta apenas a tese da prescrição, que se há de resolver em benefício do embargante. A "despedida" de um estável, mais do que nula, afigura-se inexistente, pois, completado o decênio, desaparece o poder de o empregador denunciar o ajuste. Pode, sim, obstar no mundo dos fatos a execução do trabalho. Prescreve, desta sorte, o direito do empregado, mês a mês, a salários, nunca a ação para se ver reitegrado plenamente no emprego. IDEM VENCIDOS OS MINISTROS ALVES DE ALMEIDA, ARY CAMPISTA, ORLANDO COUTINHO, LIMA TEIXEIRA E BARATA SILVA. Arquivo do Ementário Forense, TST/633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dois anos o direito de reclamar, o empregado estável, contra a despedida levada a efeito sem observância das formalidades legais.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2026-10-16T17:21:48.974Z</dcterms:created>
  <dcterms:modified xsi:type="dcterms:W3CDTF">2026-10-16T17:21:48.974Z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