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Recurso: </w:t>
      </w:r>
      <w:r>
        <w:t xml:space="preserve">re 28</w:t>
      </w:r>
    </w:p>
    <w:p/>
    <w:p>
      <w:r>
        <w:t xml:space="preserve">LEI 8.213 DE 24-07-1991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10.710, DE 05 DE AGOSTO DE 2003 Altera a Lei nº 8.213, de 24 de julho de 1991, para restabelecer o pagamento, pela empresa, do salário-maternidade devido à segurada empregada gestante. O PRESIDENTE DA REPÚBLICA Faço saber que o Congresso Nacional decreta e eu sanciono a seguinte Lei: Art. 1º A Lei nº 8.213, de 24 de julho de 1991, passa a vigorar com as seguintes alterações: "Art. 71. O salário-maternidade é devido à segurada da Previdência Social, durante 120 (cento e vinte) dias, com início no período entre 28 (vinte e oito) dias antes do parto e a data de ocorrência deste, observadas as situações e condições previstas na legislação no que concerne à proteção à maternidade. Parágrafo único. (Revogado pela Lei nº 9.528, de 10 de dezembro de 1997)" (NR) "Art. 71-A ........................................................................ Parágrafo único. O salário-maternidade de que trata este artigo será pago diretamente pela Previdência Social." (NR) "Art. 72. ............................................................................ § 1º Cabe à empresa pagar o salário-maternidade devido à respectiva empregada gestante, efetivando-se a compensação, observado o disposto no art. 248 da Constituição Federal, quando do recolhimento das contribuições incidentes sobre a folha de salários e demais rendimentos pagos ou creditados, a qualquer título, à pessoa física que lhe preste serviço. § 2º A empresa deverá conservar durante 10 (dez) anos os comprovantes dos pagamentos e os atestados correspondentes para exame pela fiscalização da Previdência Social. § 3º O salário-maternidade devido à trabalhadora avulsa será pago diretamente pela Previdência Social." (NR) "Art. 73. Assegurado o valor de um salário-mínimo, o salário-maternidade para as demais seguradas, pago diretamente pela Previdência Social, consistirá: ................................................................. .................." (NR) Art. 2º Esta Lei entra em vigor na data de sua publicação, produzindo efeitos em relação aos benefícios requeridos a partir do primeiro dia do mês seguinte ao de sua publicação. Brasília, 5 de agosto de 2003; 182º da Independência e 115º da República. LUIZ INÁCIO LULA DA SILVA Ricardo José Ribeiro Berzoini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2026-10-16T17:21:37.973Z</dcterms:created>
  <dcterms:modified xsi:type="dcterms:W3CDTF">2026-10-16T17:21:37.973Z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