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DISSÍDIO COLETIVO</w:t>
      </w:r>
    </w:p>
    <w:p>
      <w:r>
        <w:rPr>
          <w:i/>
          <w:iCs/>
          <w:color w:val="666666"/>
        </w:rPr>
        <w:t xml:space="preserve">DESCONTO A FAVOR DE SINDICATO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02/10/1978</w:t>
      </w:r>
    </w:p>
    <w:p/>
    <w:p>
      <w:r>
        <w:t xml:space="preserve">CONTINUIDADE — SE É COMPUTÁVEL O TEMPO DE SERVIÇO ANTERIOR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Quanto à revista da empresa, foi liberada pelo AI provido, face ao que dispõe a Lei 6.204/75, que proíbe a contagem de períodos descontínuos prestados à mesma empregadora quando o contrato anterior houver sido extinto por aposentadoria. - O conhecimento pela nulidade não tem nenhum respaldo legal ou jurisprudencial. - A Lei 6.204/75 foi violada, pois o Regional considerou que havia direito adquirido do autor. - A par desse dispositivo legal esclarece o artigo da CLT, vedando a contagem de tempo de contrato anterior extinto pela jubilação, o referido artigo não poderia ter sido aplicado, porque ali se assegura a contagem de tempo descontínuo na mesma empresa, e não no mesmo grupo. - Conheço. - Mérito - A CLT define empresa e grupo, distinguindo uma do outro. A solidariedade passiva das empresas consorciadas é para os efeitos da relação de emprego, apenas, justificando-se, por isso, no caso de inadimplemento de obrigações por parte de uma das empresas componentes do grupo - como salienta o lúcido voto do Juiz ANTÔNIO LAMARCA. - Dou provimento ao recurso para restabelecer a sentença de 1º grau (que julgou a reclamação improcedente). Proc. TST-RR-4.303/77, Julgado em 03-10-1978 (*) "O empregado aposentado tem direito ao cômputo do tempo anterior à aposentadoria, se permanecer a serviço da empresa ou a ele retornar." Arquivo do Ementário Forense. TST/786 EMENTÁRIO FORENSE. Maio, 1979. Ano XXXI. Nº 366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Aplicação do art. 453 da Consolidação das Leis do Trabalho, com a redação que lhe foi dada pela Lei nº 6.204, de 29 de abril de 1975. - A Lei nº 6.204, de 1975, veda a soma de períodos descontínuos de trabalho quando o anterior houver sido juridicamente extinto pela aposentadoria, vedação que vem tornar sem efeito o enunciado da Súmula nº 21. (Ementa do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2026-07-28T01:55:50.054Z</dcterms:created>
  <dcterms:modified xsi:type="dcterms:W3CDTF">2026-07-28T01:55:50.054Z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