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</w:t>
      </w:r>
    </w:p>
    <w:p>
      <w:r>
        <w:rPr>
          <w:i/>
          <w:iCs/>
          <w:color w:val="666666"/>
        </w:rPr>
        <w:t xml:space="preserve">DESCONTOS PREVIDENCIÁRIO E FISCAL</w:t>
      </w:r>
    </w:p>
    <w:p/>
    <w:p/>
    <w:p>
      <w:r>
        <w:t xml:space="preserve">SEU OBJETO — PRESTAÇÕES REMUNERATÓRIAS INCLUSIVE AS DECORRENTES DE CONDENAÇÃO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descontos previdenciários e fiscais são incidências legais, cabíveis em quaisquer prestações remuneratórias, nos limites estabelecidos, mesmo no pagamento de prestações vencidas decorrentes de condenação. (Do acórdão) V. o t. GRATIFICAÇÃO DE PLANTÃO, st. HORAS EXTRAORDINÁRIAS EMENTÁRIO FORENSE. Junho, 1979. Ano XXXI. Nº 367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2026-10-16T16:14:18.015Z</dcterms:created>
  <dcterms:modified xsi:type="dcterms:W3CDTF">2026-10-16T16:14:18.015Z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