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SENTENÇA</w:t>
      </w:r>
    </w:p>
    <w:p>
      <w:r>
        <w:rPr>
          <w:i/>
          <w:iCs/>
          <w:color w:val="666666"/>
        </w:rPr>
        <w:t xml:space="preserve">DESCONTOS PREVIDENCIÁRIO E FISCAL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28/11/1978</w:t>
      </w:r>
    </w:p>
    <w:p/>
    <w:p>
      <w:r>
        <w:t xml:space="preserve">DIREITO RECONHECIDO COMO SE ESTIVESSE EM EXERCÍCIO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Reintegrado o empregado, restitui-se ao estado anterior com todas as vantagens inerentes ao contrato de trabalho, como se em pleno exercício estivesse e daí o direito às férias. RESUMO DO ACÓRDÃO; - A sentença ordinária declara que os reclamantes foram mandados reintegrar e têm direito às vantagens do período de afastamento, como se estivessem trabalhando. Daí a condenação nos termos do pedido, incluindo adicional noturno, gratificação natalina, férias, adicional de insalubridade e salário família. - O acórdão regional confirmou a sentença, excluindo todavia a parcela de férias, porque os reclamantes perceberam salários em todo o período de afastamento. - Nos termos em que foi colocada a matéria relativa ao adicional noturno, gratificação natalina e salário família, pelas instâncias ordinárias, não há base para seguimento dos embargos, nesses pontos. - Conheço, quanto às férias, pela divergência. - O fato de perceberem salários em conseqüência de reintegração, não afasta o direito às férias, tal como reconheceu o acórdão embargado. A hipótese a que se refere a embargante prende-se ao artigo 133, "d", da CLT, mas, no caso aplicou-se o princípio de que, reintegrado o empregado, restitui-se ao estado anterior, com todas as vantagens inerentes ao contrato de trabalho como se em pleno exercício estivesse. - Rejeitado os embargos. Proc. TST-E-RR-2924/76, Julgado em 29-11-1978 VENCIDO O MINISTRO FERNANDO FRANCO Arquivo do Ementário Forense. TST/796 EMENTÁRIO FORENSE. Junho, 1979. Ano XXXI. Nº 367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2026-07-28T04:26:21.232Z</dcterms:created>
  <dcterms:modified xsi:type="dcterms:W3CDTF">2026-07-28T04:26:21.232Z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