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HORAS EXTRAORDINÁRIAS</w:t>
      </w:r>
    </w:p>
    <w:p>
      <w:r>
        <w:rPr>
          <w:i/>
          <w:iCs/>
          <w:color w:val="666666"/>
        </w:rPr>
        <w:t xml:space="preserve">HORÁRIO PARA REPOUSO E ALIMENTAÇÃO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>
      <w:r>
        <w:rPr>
          <w:b/>
          <w:bCs/>
        </w:rPr>
        <w:t xml:space="preserve">Julgado em: </w:t>
      </w:r>
      <w:r>
        <w:t xml:space="preserve">12/12/1977</w:t>
      </w:r>
    </w:p>
    <w:p/>
    <w:p>
      <w:r>
        <w:t xml:space="preserve">APROVEITAMENTO EM SERVIÇO NÃO INSALUBRE — SE CABE AO EMPREGADO CONTINUAR RECEBENDO O ADICIONAL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Como o relatório acentuou, os fatos são incontroversos: O recorrente trabalhava em atividade insalubre, percebendo o respectivo adicional; adquiriu enfermidade profissional; ao ter "alta", por ordem médica, foi afastado do serviço insalubre; em conseqüência, perdeu o direito ao adicional respectivo. - As decisões das instâncias ordinárias estão corretas, pois a insalubridade é um adicional devido e pago em função da prestação efetiva do trabalho nocivo à saúde do empregado. - No caso, a permanência do empregado na atividade insalubre, contrariando ordens médicas, face à enfermidade anterior que ele contraíra em serviço, seria um absurdo, mas desde que o empregador o submeteu a processo de readaptação profissional e, em cumprimento das determinações do médico, preparou-o para outra função, sem qualquer grau de insalubridade, obrigar-se o empregador a continuar pagando ao Recorrente o adicional, mesmo cessada a atividade insalubre, seria evidente injustiça. - Conhecem do recurso, mas negam-lhe provimento. Proc. TST-RR-2869/77, Julgado em 13-12-1977 VENCIDO O MINISTRO REZENDE PUECH (Revisor) Arquivo do Ementário Forense. TST/761 EMENTÁRIO FORENSE. Abril, 1979. Ano XXXI. Nº 365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Se o trabalhador que contraiu enfermidade profissional, ao ter "alta", é submetido, por ordem médica, a processo de readaptação na empresa e passa a prestar serviços em atividade que não é insalubre, não pode pretender continuar recebendo do empregador o adicional que, em condições anteriores e diversas, lhe vinha sendo paga.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2026-10-16T16:08:20.407Z</dcterms:created>
  <dcterms:modified xsi:type="dcterms:W3CDTF">2026-10-16T16:08:20.407Z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