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28/06/1978</w:t>
      </w:r>
    </w:p>
    <w:p/>
    <w:p>
      <w:r>
        <w:t xml:space="preserve">COMPETÊNCIA DA JUSTIÇA DO TRABALHO PARA RECONHECER DE SUA RECLAMAÇÃO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É inegável que o cedido conserva, durante a cessão, o seu "status" de funcionário público e que esse "status" é condição essencial para a opção pelo regime da CLT. Mas outro requisito indispensável para a opção é que o optante, além de funcionário público, seja cedido. E a opção se faz justamente no período da cessão. Ora, constitui jurisprudência deste E. Tribunal Superior que a Justiça do Trabalho é competente para apreciar reclamação de funcionário público cedido atinentes a fatos ocorridos no período da cessão e com ela relacionados. É precisamente o caso da presente ação, movida contra a recusa da opção por parte da empresa. - Dou provimento à revista para reconhecendo a competência da Justiça do Trabalho, determinar a baixa dos autos para que seja proferido novo julgamento... Proc. TST-RR-480/78, Julgado em 29-06-1978 Arquivo do Ementário Forense, TST/778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conhecer de reclamação de funcionário público cedido contra a recusa por parte da empresa de sua opção pelo regime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2026-10-16T17:19:02.134Z</dcterms:created>
  <dcterms:modified xsi:type="dcterms:W3CDTF">2026-10-16T17:19:02.134Z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