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HORÁRIO PARA REPOUSO E ALIMENTAÇÃO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28/06/1978</w:t>
      </w:r>
    </w:p>
    <w:p/>
    <w:p>
      <w:r>
        <w:t xml:space="preserve">COMPETÊNCIA DA JUSTIÇA DO TRABALHO PARA RECONHECER DE SUA RECLAMAÇÃO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É inegável que o cedido conserva, durante a cessão, o seu "status" de funcionário público e que esse "status" é condição essencial para a opção pelo regime da CLT. Mas outro requisito indispensável para a opção é que o optante, além de funcionário público, seja cedido. E a opção se faz justamente no período da cessão. Ora, constitui jurisprudência deste E. Tribunal Superior que a Justiça do Trabalho é competente para apreciar reclamação de funcionário público cedido atinentes a fatos ocorridos no período da cessão e com ela relacionados. É precisamente o caso da presente ação, movida contra a recusa da opção por parte da empresa. - Dou provimento à revista para reconhecendo a competência da Justiça do Trabalho, determinar a baixa dos autos para que seja proferido novo julgamento... Proc. TST-RR-480/78, Julgado em 29-06-1978 Arquivo do Ementário Forense, TST/778 EMENTÁRIO FORENSE. Abril, 1979. Ano XXXI. Nº 365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competente a Justiça do Trabalho para conhecer de reclamação de funcionário público cedido contra a recusa por parte da empresa de sua opção pelo regime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2026-07-28T06:26:08.687Z</dcterms:created>
  <dcterms:modified xsi:type="dcterms:W3CDTF">2026-07-28T06:26:08.687Z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