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07/06/1978</w:t>
      </w:r>
    </w:p>
    <w:p/>
    <w:p>
      <w:r>
        <w:t xml:space="preserve">RECEBIMENTO DE INDENIZAÇÃO, OPÇÃO PELO FGTS E PERMANÊNCIA EM SERVIÇO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 cita recorrente, a... seguinte ementa do acórdão do 1º TRT: "Nenhum óbice legal existe a impedir que o empregador rescinda o contrato de trabalho que mantinha com empregado seu, o indenize legalmente e o readmita no dia imediato. - O novo contrato, celebrado sob a égide do FGTS não se soma ao anterior para nenhum efeito." - Porque flagrante o choque entre esse aresto e o recorrido, conheço da revista. - Mérito - O § 4º do art. 35 do Regulamento do Fundo de Garantia de Tempo de Serviço, aprovado pelo Decreto nº 59.820, de 20 de dezembro de 1966, dirimindo a dúvida suscitada pela omissão do art. 17 e seus §§ da Lei 5.107, expressamente permite que o empregado estável transacione com a empresa o tempo de serviço anterior à opção pelo FGTS e continue prestando serviços à mesma. Foi precisamente o que aconteceu no caso destes autos em que a transação com o recebimento da indenização pelo empregado e permanência deste no serviço foi um procedimento claramente autorizado pelo direito vigente, no qual não se pode vislumbrar, sequer, fraude. Nenhuma pertinência, tem, portanto, á hipótese a Súmula 20 (*), que o "a quo" entendeu aplicável. - Dou provimento a revista para julgar improcedente a reclamação. Proc. TST-RR-3631/77, Julgado em 08-06-1978 Arquivo do Ementário Forense, TST/762 (*) "Não obstante o pagamento de indenização de antigüidade, presume-se em fraude à lei rescisão contratual se o empregado permaneceu prestando serviço ou tiver sido, em curso prazo, readmitido." ("EMENTÁRIO FORENSE", Nº 267, t. ESTABILIDADE, st. DEMISSÃO E READMISSÃO)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empregado estável celebrar transação válida com o empregador, recebendo indenização, optando pelo FGTS e permanecendo em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2026-07-28T06:14:21.275Z</dcterms:created>
  <dcterms:modified xsi:type="dcterms:W3CDTF">2026-07-28T06:14:21.275Z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