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28/08/1978</w:t>
      </w:r>
    </w:p>
    <w:p/>
    <w:p>
      <w:r>
        <w:t xml:space="preserve">EMPREGADO QUE TRABALHOU DURANTE TODO O EXERCÍCIO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A gratificação foi instituída, como é de sua própria natureza, para incentivar a participação do empregado na obtenção de lucros, durante o exercício financeiro anual, apurados no balanço realizado no ano seguinte. - A condição para outorga da gratificação é a existência de lucro durante o exercício, e esta foi apenas comprovada pelo balanço. Afirmar-se que o balanço constitui a condição é falacioso. - Nos casos dos autos, o recorrido colaborou com seu esforço durante todo o ano cujo resultado financeiro foi apurado pelo balanço, e adquiriu o direito à retribuição estipulada. Seu despedimento, no ano seguinte, antes do pagamento da gratificação, não apaga o direito a ela, assim como a dispensa antes do pagamento do salário do mês vencido não prejudica a remuneração do serviço já prestado. - Nego provimento. Proc. TST-RR-1110/78, Julgado em 29-08-1978 Arquivo do Ementário Forense, TST/776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trabalhou durante todo o exercício em que o lucro se verificou, adquire direito à gratificação de balanço, ainda que dispensado antes de seu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2026-07-28T04:26:08.009Z</dcterms:created>
  <dcterms:modified xsi:type="dcterms:W3CDTF">2026-07-28T04:26:08.009Z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