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14/06/1978</w:t>
      </w:r>
    </w:p>
    <w:p/>
    <w:p>
      <w:r>
        <w:t xml:space="preserve">DEVER DE PAGAR AS HORAS EXTRAORDINÁRIAS TRABALHADAS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nulo o acordo compensatório por inobservância das normas de ordem pública que o regulam, para o empregador a situação preexistente não pode assegurar-lhe respaldo, tendo em vista o princípio do efeito retroativo da nulidade, cuja exceção só se abre em relação ao hiposuficiente, em tema de direito do trabalho. Assim, ao empregador que descumpriu a lei imperativa, exigindo trabalho extraordinário à guiza de compensação, deve arcar com o pagamento dessas horas, cujo cômputo é diário e não semanal. Não basta, portanto, o alegado pagamento singelo, já que tais horas jamais foram discriminadas como extraordinárias. - Dou provimento ao recurso, para deferir as horas extraordinárias pleiteadas, além do adicional já deferido, respeitada a prescrição bienal. Proc. TST-RR-487/78, Julgado em 15-06-1978 Arquivo do Ementário Forense, TST/664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nulo o ajuste de compensação horária, por inobservância de normas de ordem pública, aplica-se em relação ao empregador, que deveria zelar pela observância dessas regras imperativas, o princípio do efeito retroativo do ato nulo, impondo-se-lhe pagar integralmente as horas extraordinárias trabalhadas cujo cômputo é diário e não semanal.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2026-07-28T03:39:37.898Z</dcterms:created>
  <dcterms:modified xsi:type="dcterms:W3CDTF">2026-07-28T03:39:37.898Z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