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23/05/1979</w:t>
      </w:r>
    </w:p>
    <w:p/>
    <w:p>
      <w:r>
        <w:t xml:space="preserve">MOTIVO PELO QUAL NÃO INTEGRA A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Contudo, irreparável o v. acórdão revisando, que assinalou que a gratificação comumente chamada de "quebra de caixa", por força do art. 5º do decreto estadual que a instituiu, era paga eventualmente para suprir possíveis diferenças que viessem a ocorrer no exercício, pela Recorrente, de suas respectivas funções. - Não tinha, pois, ao contrário do que sustenta a reclamante, a referida gratificação caráter remuneratório. Daí ser inviável sua integração no salário, para fins de indenização, porque não configurada a hipótese de uniformidade e habitualidade, mas, sim, eventualidade. - Em face do exposto, NEGO PROVIMENTO DO RECURSO, para manter o v. acórdão regional por seus indestrutíveis fundamentos. Proc. TST-RR-5.310/78, Julgado em 24-05-1979 Arquivo do Ementário Forense, TST/888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a integração da chamada gratificação "quebra de caixa", na remuneração, dado o seu caráter de suprir a caixa de possíveis diferenças que venham a ocorrer no exercício das respectivas funções", e não remuneratório.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2026-07-28T02:04:03.961Z</dcterms:created>
  <dcterms:modified xsi:type="dcterms:W3CDTF">2026-07-28T02:04:03.961Z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