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23/05/1979</w:t>
      </w:r>
    </w:p>
    <w:p/>
    <w:p>
      <w:r>
        <w:t xml:space="preserve">MOTIVO PELO QUAL NÃO INTEGRA A REMUNERAÇÃO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Contudo, irreparável o v. acórdão revisando, que assinalou que a gratificação comumente chamada de "quebra de caixa", por força do art. 5º do decreto estadual que a instituiu, era paga eventualmente para suprir possíveis diferenças que viessem a ocorrer no exercício, pela Recorrente, de suas respectivas funções. - Não tinha, pois, ao contrário do que sustenta a reclamante, a referida gratificação caráter remuneratório. Daí ser inviável sua integração no salário, para fins de indenização, porque não configurada a hipótese de uniformidade e habitualidade, mas, sim, eventualidade. - Em face do exposto, NEGO PROVIMENTO DO RECURSO, para manter o v. acórdão regional por seus indestrutíveis fundamentos. Proc. TST-RR-5.310/78, Julgado em 24-05-1979 Arquivo do Ementário Forense, TST/888 EMENTÁRIO FORENSE. Dezembro, 1979. Ano XXXI.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Inviável a integração da chamada gratificação "quebra de caixa", na remuneração, dado o seu caráter de suprir a caixa de possíveis diferenças que venham a ocorrer no exercício das respectivas funções", e não remuneratório.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2026-10-26T04:54:49.728Z</dcterms:created>
  <dcterms:modified xsi:type="dcterms:W3CDTF">2026-10-26T04:54:49.728Z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