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17/06/1979</w:t>
      </w:r>
    </w:p>
    <w:p/>
    <w:p>
      <w:r>
        <w:t xml:space="preserve">INCLUSÃO DE NORMA PARA AFERÍ-LA — ABDICAÇÃO DO DIREITO DISCRICIONÁRIO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 vez que a empresa, voluntariamente, abdica de prerrogativas legais suas, - no regulamento (como no caso), no contrato ou na convenção coletiva, - isso vale e cria direito para o empregado insuscetível de alteração patronal. - No caso a empresa abdicou do seu poder de promover, por merecimento, conforme ato discricionário e subjetivo. Inseriu no regulamento norma segundo a qual a promoção por merecimento se faz por critérios objetivos. Essa norma contratualizou-se e se tornou intangível, não podendo mais o patrão ver restaurado o seu poder discricionário de promover, (CLT, arts. 444 e 468). - Rejeito os embargos. Proc. TST-E-RR-2.205/77, Julgado em 18-06-1979 VENCIDOS OS MINISTROS EXPEDITO AMORIM, FERNANDO FRANCO, NELSON TAPAJÓS E O JUIZ SIMÕES BARBOSA Arquivo do Ementário Forense, TST/901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empregador que insere no regulamento norma para se aferir promoção por merecimento perde por abdicação juridicamente válida, o direito de promover por ato discricionário seu.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2026-10-26T02:18:31.229Z</dcterms:created>
  <dcterms:modified xsi:type="dcterms:W3CDTF">2026-10-26T02:18:31.229Z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