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23/10/1977</w:t>
      </w:r>
    </w:p>
    <w:p/>
    <w:p>
      <w:r>
        <w:t xml:space="preserve">GRAU DE JURISDIÇÃO EM QUE FOI ESTA PEDIDA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Pendendo desta instância o julgamento, é ela, indubitavelmente, competente para apreciar o pedido de homologação. Não tem sentido baixar ao primeiro grau, devolvendo a jurisdição, mesmo porque, se ali não for homologado o negócio jurídico, volverão os autos, mais uma vez, a este Pleno. - O meu voto é por que se homologue a transação ..., o que extinguirá o processo como se o fizesse "de meritis", a teor do artigo 269 do CPC. Proc. TST-E-RR-4.492/75, Julgado em 24-10-1977 VENCIDOS OS MINISTROS HILDEBRANDO BISAGLIA, RAYMUNDO DE SOUZA MOURA, BARATA SILVA E JUÍZES PEREIRA LEITE E PAJEHU MACEDO SILVA Arquivo do Ementário Forense, TST/660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grau de jurisdição competente para o julgamento o é, em consequência, para a apreciação de pedido de homologação de transação, que, quando deferido, extingue o processo com julgamento do mérito (Código de Processo Civil, 269).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2026-10-26T02:36:41.485Z</dcterms:created>
  <dcterms:modified xsi:type="dcterms:W3CDTF">2026-10-26T02:36:41.485Z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