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23/10/1977</w:t>
      </w:r>
    </w:p>
    <w:p/>
    <w:p>
      <w:r>
        <w:t xml:space="preserve">GRAU DE JURISDIÇÃO EM QUE FOI ESTA PEDIDA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Pendendo desta instância o julgamento, é ela, indubitavelmente, competente para apreciar o pedido de homologação. Não tem sentido baixar ao primeiro grau, devolvendo a jurisdição, mesmo porque, se ali não for homologado o negócio jurídico, volverão os autos, mais uma vez, a este Pleno. - O meu voto é por que se homologue a transação ..., o que extinguirá o processo como se o fizesse "de meritis", a teor do artigo 269 do CPC. Proc. TST-E-RR-4.492/75, Julgado em 24-10-1977 VENCIDOS OS MINISTROS HILDEBRANDO BISAGLIA, RAYMUNDO DE SOUZA MOURA, BARATA SILVA E JUÍZES PEREIRA LEITE E PAJEHU MACEDO SILVA Arquivo do Ementário Forense, TST/660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grau de jurisdição competente para o julgamento o é, em consequência, para a apreciação de pedido de homologação de transação, que, quando deferido, extingue o processo com julgamento do mérito (Código de Processo Civil, 269).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2026-07-28T00:10:28.318Z</dcterms:created>
  <dcterms:modified xsi:type="dcterms:W3CDTF">2026-07-28T00:10:28.318Z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