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07/11/1977</w:t>
      </w:r>
    </w:p>
    <w:p/>
    <w:p>
      <w:r>
        <w:t xml:space="preserve">INCLUSÃO DO TEMPO DE AVISO PRÉVIO — QUANDO AINDA ASSIM NÃO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acórdão regional considerou que o reclamante trabalhou para a reclamada, no período de um ano, dois meses e dez dias, quando foi dispensado sem justa causa. Reconheceu que o reclamante recebeu o aviso prévio... VOTO - O prazo correspondente ao aviso prévio, concedido ou não, integra-se sempre no tempo de serviço. Não se caracteriza violação do dispositivo invocado, nesse item. - ................................. - Conheço apenas no que se refere às férias proporcionais, pela alínea "b". - O tempo excedente de um ano, prestado pela reclamante à reclamada, não autoriza o direito às férias proporcionais, mesmo que integrado seja o prazo do aviso prévio, de acordo com a lei vigente ao tempo. - Dou provimento para excluir da condenação a parcela das férias proporcionais. Proc. TST-RR-2.694/77, Julgado em 08-11-1977 VENCIDO O MINISTRO ALVES DE ALMEIDA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incluído o período do aviso prévio, o tempo de serviço excedente de um ano de casa é insuficiente para sustentar o pedido de férias proporcionais.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2026-07-28T02:52:28.749Z</dcterms:created>
  <dcterms:modified xsi:type="dcterms:W3CDTF">2026-07-28T02:52:28.749Z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