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06/06/1977</w:t>
      </w:r>
    </w:p>
    <w:p/>
    <w:p>
      <w:r>
        <w:t xml:space="preserve">COMPLEMENTAÇÃO DESTE AO NÍVEL DAQUELAS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adicional global de função tem por finalidade o pagamento, inclusive, das horas extraordinárias prestadas pelo pessoal marítimo da Petrobrás, quando embarcado. Entendo perfeitamente válido o sistema de fixação "a priori" de determinado valor para cobrir possíveis horas extraordinárias, ademais o referido adicional está capitulado no Código de Pessoal Marítimo da Petrobrás e, portanto, inserido no contrato de trabalho de seu empregador marítimo. Contudo, se as horas extraordinárias superam o valor atribuído ao AGF, deve ser complementado até atingir o valor das horas extras efetivamente trabalhadas. - Dou provimento parcial ao recurso para determinar que se compense do valor das horas extras a que faz jus o empregado, a quantia já paga relativa ao AGF, se for o caso. Proc. TST-RR-4.704/76, Julgado em 07-06-1977 VENCIDO O MINISTRO ALVES DE ALMEIDA Arquivo do Ementário Forense, TST/659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valor das horas extraordinárias efetivamente prestadas superam o valor do Adicional Global de Função, deve este ser complementado até atingir o valor daquelas.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2026-07-28T00:14:05.495Z</dcterms:created>
  <dcterms:modified xsi:type="dcterms:W3CDTF">2026-07-28T00:14:05.495Z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