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08/12/1977</w:t>
      </w:r>
    </w:p>
    <w:p/>
    <w:p>
      <w:r>
        <w:t xml:space="preserve">REDUÇÃO — SE PODE IMPLICAR EM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Meu entendimento é coincidente com o do Tribunal "a quo", isto é, a irregular concessão do intervalo para repouso e alimentação é passível de sanção administrativa e não resulta em benefício econômico para o empregado. - Nego provimento. - É o meu voto. Proc. TST-RR-3.528/77, Julgado em 09-12-1977 Arquivo do Ementário Forense, TST/653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redução do período de repouso do trabalhador não implica em remuneração, e sim em sanção administrativa para o empregador.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2026-07-28T00:13:33.912Z</dcterms:created>
  <dcterms:modified xsi:type="dcterms:W3CDTF">2026-07-28T00:13:33.912Z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