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ORDINÁRIA DE APOSENTADORIA ESPECIAL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07/11/1977</w:t>
      </w:r>
    </w:p>
    <w:p/>
    <w:p>
      <w:r>
        <w:t xml:space="preserve">PREJUÍZO CAUSADO A TERCEIROS — AUSÊNCIA DE DOLO OU CULPA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queda da passageira fez com que empresa pagasse Cr$ 4.300,00 à mesma e descontasse essa importância dos salários do reclamante. Aí a violação legal ao art. 462 da CLT, por isso conheço da Revista. - Dou ao recurso provimento, para restabelecer a sentença da Junta. Não pode a empresa descontar do salário do empregado danos sofridos a terceiros quando não há prova de que a causa do dano tenha sido a ação ou omissão dolosa do empregado. Se a empresa pagou à passageira algum prejuízo por esta sofrido, fê-lo por liberalidade. - Assim, dou provimento ao recurso do empregado para determinar a devolução da importância descontada do mesmo. Proc. TST-RR-454/77, Julgado em 08-11-1977 Arquivo do Ementário Forense, TST/649 EMENTÁRIO FORENSE. Outubro, 1978. Ano XXX. Nº 359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Vedado à empresa descontar dos salários do empregado danos causados a terceiros quando não demonstrada, na ação do mesmo, a ocorrência de dolo ou culpa.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2026-10-26T02:33:09.274Z</dcterms:created>
  <dcterms:modified xsi:type="dcterms:W3CDTF">2026-10-26T02:33:09.274Z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