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07/11/1977</w:t>
      </w:r>
    </w:p>
    <w:p/>
    <w:p>
      <w:r>
        <w:t xml:space="preserve">INPS COMO ÓRGÃO PAGADOR — SE OBSTA 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pretende complementação de aposentadoria, em face de cláusula atinente ao seu contrato de trabalho com a reclamada, e inclusão nas folhas de pagamento das parcelas pleiteadas, para remessa ao INPS, órgão pagador dos proventos. - A matéria é de competência da Justiça do Trabalho, pois o que se discute é vantagem decorrente do contrato de trabalho, que se projetou no tempo para alcançar a aposentadoria do reclamante. O fato de ser órgão pagador o INPS, não impede a apreciação da matéria pela Justiça do Trabalho, para o fim de uma vez organizadas corretamente as folhas de pagamento sejam estas remetidas pela ré ao órgão incumbido do pagamento. - Dou provimento para determinar o retorno dos autos à Junta de origem, a fim de que processe a reclamação, e julgue como entender de direito. Proc. TST-RR-2.883/77, Julgado em 08-11-1977 Arquivo do Ementário Forense, TST/700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 órgão pagador o Instituto Nacional da Previdência Social, não impede a apreciação da matéria, na Justiça do Trabalho, para o fim de uma vez organizadas corretamente as folhas de pagamento, sejam estas remetidas pela reclamada ao órgão incumbido do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2026-10-26T06:59:18.559Z</dcterms:created>
  <dcterms:modified xsi:type="dcterms:W3CDTF">2026-10-26T06:59:18.559Z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