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05/04/1978</w:t>
      </w:r>
    </w:p>
    <w:p/>
    <w:p>
      <w:r>
        <w:t xml:space="preserve">SUA INEFICÁCIA, IRREGULARIDADE OU NULIDADE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revista (229), a reclamada acosta julgados que na realidade não afrontam a tese esposada pelo Regional. Esta parte do princípio, juridicamente válido, de que o quadro de carreira, homologado ou não, não tem o condão de institucionalizar critérios lesivos ao "cânon" da isonomia. A divergência afirma que a existência de quadro de carreira afasta a incidência do artigo 461 da CLT. Uma coisa não tem a ver com a outra, pois, para produzir tal efeito o quadro há de ser eficaz e legal. - Ademais, o pedido é claro - Reclamante e paradigma teriam recebido idêntico enquadramento no quadro de carreira - motorista - e, não obstante, à guisa de merecimento, a reclamada majorou o salário do paradigma, ferindo, em consequência, o princípio constitucional e legal da igualdade de tratamento salarial. - Como bem enfatiza o parecer da PG, a chamada promoção horizontal, com acréscimo salarial sem que alterem as funções, não está amparada em lei. - Tenho sustentado que o quadro de carreira é auto-limitação do "ius variandi" do empregador, através do regulamento empresário. O patrão, em consequência, não pode promover livremente. Se, porém, o quadro é ineficaz, por irregular ou nulo, o empregado pode ajuizar reclamação para obter equiparação salarial ou promoção (Ac. 3ª, T, RR-1020/76, D.J. 16-02-77). - Não conheço da revista. Proc. TST-RR-5.023/77, Julgado em 06-04-1978 Arquivo do Ementário Forense, TST/695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quadro de carreira é auto-limitação do "ius variandi" do empregador. Se é ineficaz, por irregular ou nulo, é lícito ao empregado ajuizar reclamação para obter equiparação salarial ou promoção.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2026-10-26T04:34:25.490Z</dcterms:created>
  <dcterms:modified xsi:type="dcterms:W3CDTF">2026-10-26T04:34:25.490Z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