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ADICIONAL DE PERICULOSIDADE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13/12/1977</w:t>
      </w:r>
    </w:p>
    <w:p/>
    <w:p>
      <w:r>
        <w:t xml:space="preserve">VIOLAÇÃO PELO EMPREGADOR — SE PODE RESULTAR EM DIREITO A HORAS EXTRAORDINÁRIAS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filio-me à corrente que vê na irregular concessão dos intervalos para repouso e alimentação a ocorrência de ilícito de natureza administrativa e como tal punível, não existindo suporte fático para pretensão ao ressarcimento de direito subjetivos, como o pagamento de horas extras. - Acolho os embargos para restabelecer o venerando acórdão regional. - É o meu voto. Proc. TST-E-RR-4.590/76, Julgado em 14-12-1977 VENCIDOS OS MINISTROS ARY CAMPISTA, LIMA TEIXEIRA, ORLANDO COUTINHO, ALVES DE ALMEIDA, RAYMUNDO DE SOUZA MOURA E LUIZ ROBERTO DE REZENDE PUECH Arquivo do Ementário Forense, TST/683 EMENTÁRIO FORENSE. Dezembro, 1978. Ano XXX. Nº 361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irregular concessão do intervalo para repouso e alimentação (artigo 71/CLT), configura ilícito de natureza administrativa e é como tal punível.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2026-07-28T01:32:28.900Z</dcterms:created>
  <dcterms:modified xsi:type="dcterms:W3CDTF">2026-07-28T01:32:28.900Z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