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13/12/1977</w:t>
      </w:r>
    </w:p>
    <w:p/>
    <w:p>
      <w:r>
        <w:t xml:space="preserve">VIOLAÇÃO PELO EMPREGADOR — SE PODE RESULTAR EM DIREITO A HORAS EXTRAORDINÁRIAS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filio-me à corrente que vê na irregular concessão dos intervalos para repouso e alimentação a ocorrência de ilícito de natureza administrativa e como tal punível, não existindo suporte fático para pretensão ao ressarcimento de direito subjetivos, como o pagamento de horas extras. - Acolho os embargos para restabelecer o venerando acórdão regional. - É o meu voto. Proc. TST-E-RR-4.590/76, Julgado em 14-12-1977 VENCIDOS OS MINISTROS ARY CAMPISTA, LIMA TEIXEIRA, ORLANDO COUTINHO, ALVES DE ALMEIDA, RAYMUNDO DE SOUZA MOURA E LUIZ ROBERTO DE REZENDE PUECH Arquivo do Ementário Forense, TST/683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irregular concessão do intervalo para repouso e alimentação (artigo 71/CLT), configura ilícito de natureza administrativa e é como tal punível.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2026-10-16T18:24:13.999Z</dcterms:created>
  <dcterms:modified xsi:type="dcterms:W3CDTF">2026-10-16T18:24:13.999Z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