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06/03/1978</w:t>
      </w:r>
    </w:p>
    <w:p/>
    <w:p>
      <w:r>
        <w:t xml:space="preserve">SE É OPORTUNA A LEVADA A EFEITO NO RECURSO ORDINÁRIO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tese correta é, "data venia" do eminente Ministro Relator, a sufragada nos acórdãos paradigmas que fundamentaram o conhecimento da revista. Efetivamente, é princípio consagrado do art. 162 do Código Civil e de aplicação subsidiária na Justiça do Trabalho que a prescrição pode ser alegada, em qualquer instância, pela parte a quem aproveita. Deste modo, injustificável foi seu indeferimento por não argüida regularmente na defesa prévia, podendo ela, como podia, constitui matéria de apelo ordinário, na forma da lei. - Dou provimento em parte ao recurso para declarar prescritas as parcelas anteriores há dois anos contados da data do ajuizamento da reclamação. Proc. TST-RR-3.905/77, Julgado em 07-03-1978 VENCIDO O MINISTRO GERALDO STARLING SOARES Arquivo do Ementário Forense, TST/686 EMENTÁRIO FORENSE. Dezembro, 1978. Ano XXX. Nº 361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pode ser argüida em recurso ordinário.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2026-10-16T16:04:03.670Z</dcterms:created>
  <dcterms:modified xsi:type="dcterms:W3CDTF">2026-10-16T16:04:03.670Z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