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06/03/1978</w:t>
      </w:r>
    </w:p>
    <w:p/>
    <w:p>
      <w:r>
        <w:t xml:space="preserve">SE É OPORTUNA A LEVADA A EFEITO NO RECURSO 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correta é, "data venia" do eminente Ministro Relator, a sufragada nos acórdãos paradigmas que fundamentaram o conhecimento da revista. Efetivamente, é princípio consagrado do art. 162 do Código Civil e de aplicação subsidiária na Justiça do Trabalho que a prescrição pode ser alegada, em qualquer instância, pela parte a quem aproveita. Deste modo, injustificável foi seu indeferimento por não argüida regularmente na defesa prévia, podendo ela, como podia, constitui matéria de apelo ordinário, na forma da lei. - Dou provimento em parte ao recurso para declarar prescritas as parcelas anteriores há dois anos contados da data do ajuizamento da reclamação. Proc. TST-RR-3.905/77, Julgado em 07-03-1978 VENCIDO O MINISTRO GERALDO STARLING SOARES Arquivo do Ementário Forense, TST/686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pode ser argüida em recurso 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2026-07-28T03:33:13.561Z</dcterms:created>
  <dcterms:modified xsi:type="dcterms:W3CDTF">2026-07-28T03:33:13.561Z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