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24/04/1978</w:t>
      </w:r>
    </w:p>
    <w:p/>
    <w:p>
      <w:r>
        <w:t xml:space="preserve">PARTE AUSENTE À AUDIÊNCIA APESAR DE CIENTIFICADA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se fizesse constar no termo de audiência ... que a publicação da sentença se daria no dia 06-05-77 e que da mesma ficariam cientes as partes, no dia da prolação da sentença, as partes não compareceram, determinando o MM. Juiz que as mesmas fossem notificadas. - Conforme se depreende do documento ..., foram elas notificadas a 10-05-77, sendo que de acordo com a Súmula 37 (*) o prazo passaria a ser contado da intimação, uma vez ausentes as partes à audiência de julgamento, embora cientificadas. - Assim, intimadas a 10-05-77, o prazo recursal começou a fluir a 12-05-77, expirando-se a 20-05-77, data em que foi interposto o recurso, pelo que feito tempestivamente. - Dou provimento para que voltem os autos ao Egrégio Regional para apreciar o Recurso Ordinário como de direito. Proc. TST-RR-4.343/77, Julgado em 25-04-1978 Arquivo do Ementário Forense, TST/693 (*) "O prazo para recurso da parte que não comparece à audiência de julgamento, apesar de cientificada, conta-se da intimação da sentença." ("EMENTÁRIO FORENSE", Nº 267).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recursal é contado da intimação da sentença, quando ausentes as partes à audiência de julgamento, embora cientificadas.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2026-07-28T01:53:48.067Z</dcterms:created>
  <dcterms:modified xsi:type="dcterms:W3CDTF">2026-07-28T01:53:48.067Z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