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28/02/1978</w:t>
      </w:r>
    </w:p>
    <w:p/>
    <w:p>
      <w:r>
        <w:t xml:space="preserve">CLÁUSULA EM QUE O EMPREGADOR SE AUTO-LIMITA — EXIGÊNCIA DE PRÉVIA SINDICÂNCIA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ser aplicada ao reclamante pena de suspensão sem sindicância ou inquérito previstos no art. 232 do Estatuto dos Ferroviários. - Há divergência que autoriza o conhecimento. (...) - A norma regulamentar está inserida no contrato de trabalho do reclamante. E, em sendo mais favorável que a lei, há de prevalecer. Nada está a impedir que o empregador se auto limite no poder disciplinar, através de norma que, por garantir instância administrativa, sem vedar o acesso ao judiciário, previna o litígio trabalhista. - A desobediência à norma regulamentar importa, "in casu", na ineficácia do ato punitivo, pela inocorrência da garantia de prévia defesa, como já proclamou este Pleno (E RR 2104/74), Relator o eminente Ministro RENATO MACHADO. Proc. TST-E-RR-2.558/76, Julgado em 01-03-1978 VENCIDOS OS MINISTROS LIMA TEIXEIRA, MOZART VICTOR RUSSOMANO, BARATA SILVA E NELSON TAPAJÓS Arquivo do Ementário Forense, TST/684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norma regulamentar autolimitar o poder disciplinar do empregador, dispondo sobre a exigência de prévia sindicância ou inquérito, assegurado amplo direito de defesa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2026-07-28T01:58:36.720Z</dcterms:created>
  <dcterms:modified xsi:type="dcterms:W3CDTF">2026-07-28T01:58:36.720Z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