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28/03/1978</w:t>
      </w:r>
    </w:p>
    <w:p/>
    <w:p>
      <w:r>
        <w:t xml:space="preserve">HORÁRIO DE TRABALHO — MUDANÇA DE DIURNO PARA MISTO - CLÁUSULA PERMISSIVA EM DESUSO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é certo que o contrato de trabalho do reclamante, originalmente, previa a variabilidade da jornada de trabalho, o decurso do tempo consolidou a inalterabilidade, já que por longos dezoito anos permaneceu o empregado no horário das 7 às 16 horas. O decurso só não invalida o poder disciplinar que se contém no de comando empresarial. - Tem-se, assim, que a vista da cláusula contratual tacitamente acordada, o horário de trabalho do reclamante não poderia ser alterado, sem o seu consentimento, nos termos do artigo 468, da CLT, que fundamentava a revista, como fundamenta os embargos, por violado em sua literalidade. - Conheço do recurso e o recebo para o fim de restabelecer sentença da MM. Junta de Conciliação e julgamento. Proc. TST-E-RR-145/76, Julgado em 29-03-1978 VENCIDOS OS MINISTROS RAYMUNDO DE SOUZA MOURA, LOMBA FERRAZ, NELSON TAPAJÓS, HILDEBRANDO BISAGLIA E LIMA TEIXEIRA Arquivo do Ementário Forense, TST/672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a alteração da jornada de trabalho diurno para horário misto, ainda que prevista originariamente no contrato, pois o desuso importou derrogação da cláusula.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2026-07-28T01:57:31.846Z</dcterms:created>
  <dcterms:modified xsi:type="dcterms:W3CDTF">2026-07-28T01:57:31.846Z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