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28/03/1978</w:t>
      </w:r>
    </w:p>
    <w:p/>
    <w:p>
      <w:r>
        <w:t xml:space="preserve">HORÁRIO DE TRABALHO — MUDANÇA DE DIURNO PARA MISTO - CLÁUSULA PERMISSIVA EM DESUSO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é certo que o contrato de trabalho do reclamante, originalmente, previa a variabilidade da jornada de trabalho, o decurso do tempo consolidou a inalterabilidade, já que por longos dezoito anos permaneceu o empregado no horário das 7 às 16 horas. O decurso só não invalida o poder disciplinar que se contém no de comando empresarial. - Tem-se, assim, que a vista da cláusula contratual tacitamente acordada, o horário de trabalho do reclamante não poderia ser alterado, sem o seu consentimento, nos termos do artigo 468, da CLT, que fundamentava a revista, como fundamenta os embargos, por violado em sua literalidade. - Conheço do recurso e o recebo para o fim de restabelecer sentença da MM. Junta de Conciliação e julgamento. Proc. TST-E-RR-145/76, Julgado em 29-03-1978 VENCIDOS OS MINISTROS RAYMUNDO DE SOUZA MOURA, LOMBA FERRAZ, NELSON TAPAJÓS, HILDEBRANDO BISAGLIA E LIMA TEIXEIRA Arquivo do Ementário Forense, TST/672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impossível a alteração da jornada de trabalho diurno para horário misto, ainda que prevista originariamente no contrato, pois o desuso importou derrogação da cláusula.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2026-10-16T16:15:49.529Z</dcterms:created>
  <dcterms:modified xsi:type="dcterms:W3CDTF">2026-10-16T16:15:49.529Z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