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13/03/1978</w:t>
      </w:r>
    </w:p>
    <w:p/>
    <w:p>
      <w:r>
        <w:t xml:space="preserve">VIAGENS "BARRA-FORA" — OBRIGAÇÃO DE PAGAR SOLDADA BASE E ETAPA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"Data venia" do ilustre Relator, conheço da revista, pela violação do art. 5º do Decreto-Lei 200, de 25 de fevereiro de 1967, item 3 e, também, por desrespeito ao preceito do art. 163, § 2º, da Constituição. - A empresa em questão é sociedade de economia mista, com personalidade jurídica de direito privado e, assim, está sujeita às ordenações do Decreto nº 59.832/66. Sendo empresa em tráfego fluvial, mas que realiza também viagens de cabotagem, e, tendo o A. navegado "barra-forte", faz jus às diferenças de soldadas-base e etapa, pelo que, já agora com o voto do eminente Relator, dou provimento à revista, para julgar procedente o pedido, mas apurado o devido em execução (devido em viagens marítimas). Proc. TST-RR-2.804/75, Julgado em 14-03-1978 VENCIDO O MINISTRO FERNANDO FRANCO Arquivo do Ementário Forense, TST/674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Empresa privada de navegação fluvial, mas que realiza viagens "barra-fora", deve pagar a soldada base e a etapa, pela tabela da navegação marítima, quando ocorrente.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2026-07-28T04:24:59.668Z</dcterms:created>
  <dcterms:modified xsi:type="dcterms:W3CDTF">2026-07-28T04:24:59.668Z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