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>
      <w:r>
        <w:rPr>
          <w:b/>
          <w:bCs/>
        </w:rPr>
        <w:t xml:space="preserve">Recurso: </w:t>
      </w:r>
      <w:r>
        <w:t xml:space="preserve">MS 9.393</w:t>
      </w:r>
    </w:p>
    <w:p/>
    <w:p>
      <w:r>
        <w:t xml:space="preserve">DEMISSÃO ANTES DE CESSADA A CAUSA DA SUBSTITUIÇÃO —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Funcionário interino substituto é livremente demissível, mesmo antes de cessar a causa da substituição. Referência: - Constituição Federal, art. 188, parágrafo único - Estatuto dos Funcionários Públicos Civis da União, Lei nº1.711, de 28.10.52, art.12, IV, a RMS 9.393, de 04.04.62 MS 9.198, de 20.08.62 (D.J. de 16.11.62, p. 642) Sessão de 13-12-1963 - pág. 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2026-07-27T23:41:41.356Z</dcterms:created>
  <dcterms:modified xsi:type="dcterms:W3CDTF">2026-07-27T23:41:41.356Z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