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19/10/1977</w:t>
      </w:r>
    </w:p>
    <w:p/>
    <w:p>
      <w:r>
        <w:t xml:space="preserve">ARGUIÇÃO DE DIREITO ADQUIRIDO ÀS FOLGAS EM DOMINGO — PREVALÊNCIA DO REGIME DE REVEZAMENTO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ao repouso é gozado preferentemente aos domingos e nos limites das exigências técnicas da empresa (Lei 605, artigo 1º). São exigências técnicas as que, pelas condições peculiares às atividades da empresa ou razão do interesse público, tornem indispensável a continuidade do serviço (artigo 5º, § único). - No regulamento da Lei 605 (Decreto 27.048/49, artigo 6º, § 2º) prevê-se escala de revezamento nos serviços que exijam trabalho em domingo. - Logo, não pode haver direito adquirido contra a lei, pelo decurso longo de tempo. Se a empresa as contém nos parâmetros e satisfaz os requisitos legais, pode estabelecer o revezamento. No caso, aliás, a recorrente é concessionária da exploração de serviço público (transporte coletivo). - Dou provimento, para julgar a reclamação improcedente. Proc. TST-RR-2.908/77, Julgado em 20-10-1977 Arquivo do Ementário Forense, TST/573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direito adquirido contra a lei que prevê condições e requisitos para empresa concessionária de serviço público estabelecer escala de revezamento nos serviços que exijam trabalho aos domingos.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2026-07-28T04:24:42.829Z</dcterms:created>
  <dcterms:modified xsi:type="dcterms:W3CDTF">2026-07-28T04:24:42.829Z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