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03/04/1978</w:t>
      </w:r>
    </w:p>
    <w:p/>
    <w:p>
      <w:r>
        <w:t xml:space="preserve">SE É COMPUTÁVEL NO CÁLCULO DA INDENIZAÇÃO POR RESCISÃO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Enquanto dura a transferência, o adicional correspondente integra-se ao salário, pois corresponde à parcela salarial obrigatoriamente acrescida sem restrições, enquanto perdurar o motivo do seu pagamento. Ocorrendo rescisão contratual, obrigatório é o seu reflexo no cálculo das verbas rescisórias. - Por isso nego provimento ao recurso. Proc. TST-RR-4.384/77, Julgado em 04-04-1978 VENCIDO O MINISTRO FERNANDO FRANCO e com restrições o MINISTRO HILDEBRANDO BISAGLIA Arquivo do Ementário Forense, TST/666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rescisão contratual de empregado transferido, obrigatório é o reflexo do adicional de transferência no cálculo das verbas rescisórias.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2026-07-28T04:30:53.151Z</dcterms:created>
  <dcterms:modified xsi:type="dcterms:W3CDTF">2026-07-28T04:30:53.151Z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