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ADICIONAL DE PERICULOSIDADE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03/04/1978</w:t>
      </w:r>
    </w:p>
    <w:p/>
    <w:p>
      <w:r>
        <w:t xml:space="preserve">SE É COMPUTÁVEL NO CÁLCULO DA INDENIZAÇÃO POR RESCISÃO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Enquanto dura a transferência, o adicional correspondente integra-se ao salário, pois corresponde à parcela salarial obrigatoriamente acrescida sem restrições, enquanto perdurar o motivo do seu pagamento. Ocorrendo rescisão contratual, obrigatório é o seu reflexo no cálculo das verbas rescisórias. - Por isso nego provimento ao recurso. Proc. TST-RR-4.384/77, Julgado em 04-04-1978 VENCIDO O MINISTRO FERNANDO FRANCO e com restrições o MINISTRO HILDEBRANDO BISAGLIA Arquivo do Ementário Forense, TST/666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rescisão contratual de empregado transferido, obrigatório é o reflexo do adicional de transferência no cálculo das verbas rescisórias.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2026-10-16T17:25:33.595Z</dcterms:created>
  <dcterms:modified xsi:type="dcterms:W3CDTF">2026-10-16T17:25:33.595Z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