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17/08/1977</w:t>
      </w:r>
    </w:p>
    <w:p/>
    <w:p>
      <w:r>
        <w:t xml:space="preserve">SE A OBRIGAÇÃO SE ESTENDE A OUTRAS MODALIDADES INTRODUZIDAS PELA LEGISLAÇÃO PREVIDENCIÁRIA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 - O compromisso espontâneo do empregador, que por via regulamentar, aderiu ao contrato de trabalho do empregado, abrangeu, apenas, as aposentadorias verificadas após trinta anos de trabalho efetivo na empresa. - Ora, sobreveio uma nova modalidade de aposentadoria (a chamada aposentadoria especial por trabalhos penosos, insalubres ou perigosos) e foi dessa aposentadoria que se beneficiou o Recorrido. - O Eg. Tribunal "a quo" aplicou a uma "aposentadoria especial" compromisso espontaneamente assumido pelo empregador, apenas nos casos de "aposentadoria ordinária", condicionada a trinta anos de exercício profissional. - Nessas condições, na forma de inúmeros votos que tenho proferido, dou provimento ao recurso para restabelecer a decisão de primeira instância que julgou a ação improcedente. Proc. TST-RR-1.508/77, Julgado em 18-08-1977 Arquivo do Ementário Forense, TST/451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empregador assumiu, espontaneamente, por via regulamentar, compromisso de complementar as aposentadorias por tempo de serviço (trinta anos), não se pode estender essa obrigação a outras modalidades de benefícios (aposentadorias especiais) posteriormente consagradas pela legislação da Previdência Social.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2026-10-16T17:23:02.637Z</dcterms:created>
  <dcterms:modified xsi:type="dcterms:W3CDTF">2026-10-16T17:23:02.637Z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