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05/06/1977</w:t>
      </w:r>
    </w:p>
    <w:p/>
    <w:p>
      <w:r>
        <w:t xml:space="preserve">SE PODE PLEITEÁ-LA O EMPREGADO COM O CONTRATO DE TRABALHO SUSPENSO PARA TRATAMENTO DE SAÚDE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mérito, sou dos que distinguem as hipóteses em que a suspensão do contrato pode refletir formalmente, obstando a ação, com base em fato ocorrido antes ou em seu curso, pois há direitos, por razões lógico-jurídicas, que desafiam desde logo a instrumentalização da pretensão. Destarte, quando se ataca o vínculo contratual, salvo em hipóteses excepcionais, não refletidas no caso, não se pode admitir a viabilidade de rescisão do contrato. Na hipótese, versa a questão o descumprimento de obrigação contratual, o que, obviamente, não merece apreciação com o contrato suspenso. Ainda mais, quando se sabe que o autor, ora embargante, conforme reconheceu, acha-se com o contrato suspenso desde janeiro de 1973 e a ação é posterior, de fevereiro do aludido ano. - Rejeito os embargos. Proc. TST-E-RR-4.716/75, Julgado em 06-06-77 VENCIDOS OS MINISTROS COQUEIJO COSTA E ALVES DE ALMEIDA Arquivo do Ementário Forense, TST/447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Salvo hipóteses excepcionais não se poderá admitir a pretensão de rescisão contratual, achando-se suspenso 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2026-10-16T16:14:18.835Z</dcterms:created>
  <dcterms:modified xsi:type="dcterms:W3CDTF">2026-10-16T16:14:18.835Z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