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05/06/1977</w:t>
      </w:r>
    </w:p>
    <w:p/>
    <w:p>
      <w:r>
        <w:t xml:space="preserve">SE PODE PLEITEÁ-LA O EMPREGADO COM O CONTRATO DE TRABALHO SUSPENSO PARA TRATAMENTO DE SAÚDE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sou dos que distinguem as hipóteses em que a suspensão do contrato pode refletir formalmente, obstando a ação, com base em fato ocorrido antes ou em seu curso, pois há direitos, por razões lógico-jurídicas, que desafiam desde logo a instrumentalização da pretensão. Destarte, quando se ataca o vínculo contratual, salvo em hipóteses excepcionais, não refletidas no caso, não se pode admitir a viabilidade de rescisão do contrato. Na hipótese, versa a questão o descumprimento de obrigação contratual, o que, obviamente, não merece apreciação com o contrato suspenso. Ainda mais, quando se sabe que o autor, ora embargante, conforme reconheceu, acha-se com o contrato suspenso desde janeiro de 1973 e a ação é posterior, de fevereiro do aludido ano. - Rejeito os embargos. Proc. TST-E-RR-4.716/75, Julgado em 06-06-77 VENCIDOS OS MINISTROS COQUEIJO COSTA E ALVES DE ALMEIDA Arquivo do Ementário Forense, TST/447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hipóteses excepcionais não se poderá admitir a pretensão de rescisão contratual, achando-se suspenso 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2026-07-28T04:25:03.783Z</dcterms:created>
  <dcterms:modified xsi:type="dcterms:W3CDTF">2026-07-28T04:25:03.783Z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