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22/08/1977</w:t>
      </w:r>
    </w:p>
    <w:p/>
    <w:p>
      <w:r>
        <w:t xml:space="preserve">TRABALHADOR DO SEXO MASCULINO — QUANDO PODE SER ADOTADO MEDIANTE ACORDO INDIVIDUAL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..., nego-lhe provimento. Se o art. 374, da CLT, exige, quanto à mulher, que o regime de compensação das horas de trabalho seja precedido de acordo coletivo ou de convenção coletiva de trabalho, já o mesmo não ocorre quanto ao trabalhador do sexo masculino, para o qual basta o acordo individual, como o que aprece ..., na forma do parágrafo 2º, do art. 59, da Consolidação. - Ali se fala em acordo, reportando-se ao acordo escrito previsto no "caput" do referido preceito e, não, ao "acordo coletivo" que lei superveniente introduziu na vida sindical brasileira. A norma de proteção ao trabalho feminino é específica e não pode ser estendida a todos os trabalhadores. Proc. TST-RR-2.000/77, Julgado em 23-08-77 Arquivo do Ementário Forense, TST/450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trabalhador do sexo masculino, o regime de compensação de horários pode ser adotado mediante acordo individual escrito, na forma do artigo 59, parágrafo 2º,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2026-10-16T16:15:58.937Z</dcterms:created>
  <dcterms:modified xsi:type="dcterms:W3CDTF">2026-10-16T16:15:58.937Z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