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28/03/1977</w:t>
      </w:r>
    </w:p>
    <w:p/>
    <w:p>
      <w:r>
        <w:t xml:space="preserve">SIGNIFICADO DA LEVADA A EFEITO POR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Esclarece o funcionário que a devolução deve ter sido feita pelo próprio porteiro do edifício. Nova notificação é expedida a 17/2, mas a 14/2 a reclamada fez o depósito e pagou as custas, "o que faz pressupor já ter pleno conhecimento do teor da sentença, contra a qual pretendia recorrer. Ora, a devolução da notificação por pessoa estranha aos Correios, é figura esdrúxula que não pode gerar conseqüências jurídicas, à luz do texto do § único do art. 774, da CLT, segundo bem anotou a D. Procuradoria. Demais, se foi o porteiro do edifício quem recebeu a notificação, cumpria-lhe fazer a entrega ao destinatário e, não, supostamente devolvê-la, para aceitá-la dias depois. De qualquer forma, entretanto, abstraindo-se da presunção da Súmula 16 (*) já que a notificação foi irregularmente devolvida, avulta outra presunção, a de que a parte tinha conhecimento do teor da sentença, tanto que, no mencionado dia 14, providenciou o resgate dos ônus processuais. Se nessa data, já a conhecida, é óbvio que teve tal ciência em data anterior, pois naquele dia se dispôs a cumprir aquelas obrigações. De conseguinte, partindo-se da circunstância de que a notificação remetida para endereço certo, não podia ser revolvida por pessoa estranha aos Correios, pois pressupõe a ocorrência da fraude, e o fato de a 14, antes mesmo da expedição da nova notificação, que teve lugar a 17, já a parte tivera ciência da sentença a ponto de promover o pagamento das custas e depósito, certo é que o prazo recursal deve ser contado quando muito, a partir do referido dia 14, inclusive, já que inexiste prova de que só nesse dia tivera ela aquela ciência, pois, como vista, lhe é adversa a devolução da notificação em circunstâncias irregulares. O episódio se reveste de grande repercussão processual, pois, a generalizar-se a prática, flutua ntes estariam os prazos de recurso, ao sabor das devoluções de notificações. Cabe a recomendação para que a Secretaria das Juntas não admitam devolução de notificação que não venha pela via regular. Assim, iniciado o prazo a 14 de fevereiro do corrente, inclusive, terminou a 21 do mesmo mês, que recaiu numa sexta-feira. Manifestado o recurso a 24 subsequente, obviamente, o foi a destempo. - O artigo 1º, da Lei nº 2.573, de 15-08-55, que divergência jurisprudencial, não conheço da revista. Proc. TST-RR-606/77, Julgado em 29-03-77 VENCIDO O MINISTRO FORTUNATO PERES JÚNIOR Arquivo do Ementário Forense, TST/437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Entende-se regularmente notificado o reclamado se a devolução da notificação foi feita por terceiros e não pelo Correio.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2026-10-16T16:14:25.470Z</dcterms:created>
  <dcterms:modified xsi:type="dcterms:W3CDTF">2026-10-16T16:14:25.470Z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