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02/05/1977</w:t>
      </w:r>
    </w:p>
    <w:p/>
    <w:p>
      <w:r>
        <w:t xml:space="preserve">EFEITOS — COMO PASSA A INTEGRAR OS CONTRATOS DE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Pouco importa haja surgido entidade que se propôs a cobrir encargos financeiros por morte do empregado. Esta assume as obrigações estatutárias mediante as formalidades que instituiu, entre as quais a inscrição do empregado, inclusive pagamento de jóia. Trata-se de um seguro privado, com todas suas características. Por isso mesmo, não há a falar em substituição de responsabilidades. As que assumiu a reclamada perante o reclamante conforme o Manual de Pessoal ..., integram o respectivo contrato de trabalho para todos os efeitos. São das mais válidas para o caso as lições de ORLANDO GOMES, EVARISTO DE MORAES FILHO e MOZART RUSSOMANO citados na bem lançada decisão de 1ª instância, ... . As alterações do regulamento da empresa são operantes para o futuro, não afetando as relações de trabalho já iniciadas, salvo se tiverem caráter mais benéfico. - E acresce, na hipótese, serem diferentes e acumuláveis as vantagens do pecúlio empregadora e pecúlio Petrobrás. - Dou provimento a revista para restabelecer a decisão de 1ª instância, já que assim pretende a recorrente. Proc. TST-RR-199/77, Julgado em 03-05-77 VENCIDOS OS MINISTROS MOZART VICTOR RUSSOMANO E LOMBA FERRAZ Arquivo do Ementário Forense, TST/454 N. da R.: V. também o t. CONTRATO DE TRABALHO, st. REGULAMENTO DA EMPRESA ("E.F.", Nsº 307, 314 e 319)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Criado pelo Regimento da Empresa, seguro privado, este prevalece nos termos do ato patronal. As alterações a respeito não afetam as relações de trabalho já iniciadas, salvo se forem mais benéficas.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2026-10-16T17:23:52.741Z</dcterms:created>
  <dcterms:modified xsi:type="dcterms:W3CDTF">2026-10-16T17:23:52.741Z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