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AÇÃO RESCISÓRIA</w:t>
      </w:r>
    </w:p>
    <w:p>
      <w:r>
        <w:rPr>
          <w:i/>
          <w:iCs/>
          <w:color w:val="666666"/>
        </w:rPr>
        <w:t xml:space="preserve">OFENSA A LITERAL DISPOSIÇÃO DE LEI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02/05/1979</w:t>
      </w:r>
    </w:p>
    <w:p/>
    <w:p>
      <w:r>
        <w:t xml:space="preserve">CONTRATAÇÃO PERMANENTE — REMUNERAÇÃO FIXA - CLÁUSULA INVÁLIDA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mérito, razão assiste ao reclamante. Em verdade, inadmissível é a contratação permanente de sobrejornada para bancários, que, nos termos do art. 225 da CLT, só é admitida em caráter excepcional. Nulo, pois, é o ajuste. Contudo, pelo que se lê do v. acórdão regional, todas as horas extras trabalhadas foram pagas, com o devido acréscimo, inclusive com os reflexos pedidos, à exceção dos repousos obrigatórios. Indevida assim, a repetição do pagamento que é postulado, mas somente as diferenças de remuneração de repousos (Prejulgado nº 52 (*). Proc. TST-RR-3.928/78, Julgado em 03-05-1979 VENCIDO O MINISTRO NELSON TAPAJÓS Arquivo do Ementário Forense, TST/855 (*) "Computam-se no cálculo do repouso remunerado as horas extras habitualmente prestadas." ("EMENTÁRIO FORENSE", Nº 323, t. REPOUSO REMUNERADO, st. HORAS EXTRAORDINÁRIAS) EMENTÁRIO FORENSE. Novembro, 1979. Ano XXXI. Nº 372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Inválida é a cláusula contratual que prevê a remuneração fixa de sobrejornada de bancário.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2026-10-16T15:03:58.356Z</dcterms:created>
  <dcterms:modified xsi:type="dcterms:W3CDTF">2026-10-16T15:03:58.356Z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