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02/05/1979</w:t>
      </w:r>
    </w:p>
    <w:p/>
    <w:p>
      <w:r>
        <w:t xml:space="preserve">CONTRATAÇÃO PERMANENTE — REMUNERAÇÃO FIXA - CLÁUSULA INVÁLIDA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razão assiste ao reclamante. Em verdade, inadmissível é a contratação permanente de sobrejornada para bancários, que, nos termos do art. 225 da CLT, só é admitida em caráter excepcional. Nulo, pois, é o ajuste. Contudo, pelo que se lê do v. acórdão regional, todas as horas extras trabalhadas foram pagas, com o devido acréscimo, inclusive com os reflexos pedidos, à exceção dos repousos obrigatórios. Indevida assim, a repetição do pagamento que é postulado, mas somente as diferenças de remuneração de repousos (Prejulgado nº 52 (*). Proc. TST-RR-3.928/78, Julgado em 03-05-1979 VENCIDO O MINISTRO NELSON TAPAJÓS Arquivo do Ementário Forense, TST/855 (*) "Computam-se no cálculo do repouso remunerado as horas extras habitualmente prestadas." ("EMENTÁRIO FORENSE", Nº 323, t. REPOUSO REMUNERADO, st. HORAS EXTRAORDINÁRIAS)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Inválida é a cláusula contratual que prevê a remuneração fixa de sobrejornada de bancário.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2026-07-27T23:01:08.866Z</dcterms:created>
  <dcterms:modified xsi:type="dcterms:W3CDTF">2026-07-27T23:01:08.866Z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